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0ACE3" w14:textId="3470290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B2163">
        <w:t>100</w:t>
      </w:r>
      <w:r w:rsidR="001B1884">
        <w:t>b</w:t>
      </w:r>
      <w:r w:rsidR="00A3178E">
        <w:t>-e</w:t>
      </w:r>
      <w:r w:rsidRPr="00CE0424">
        <w:tab/>
      </w:r>
      <w:r w:rsidRPr="00CE0424">
        <w:rPr>
          <w:sz w:val="32"/>
          <w:szCs w:val="32"/>
        </w:rPr>
        <w:t xml:space="preserve">Tdoc </w:t>
      </w:r>
      <w:r w:rsidR="00091557" w:rsidRPr="00763DEE">
        <w:rPr>
          <w:sz w:val="32"/>
          <w:szCs w:val="32"/>
        </w:rPr>
        <w:t>R</w:t>
      </w:r>
      <w:r w:rsidR="008F1C4E" w:rsidRPr="00763DEE">
        <w:rPr>
          <w:sz w:val="32"/>
          <w:szCs w:val="32"/>
        </w:rPr>
        <w:t>1</w:t>
      </w:r>
      <w:r w:rsidR="00091557" w:rsidRPr="00763DEE">
        <w:rPr>
          <w:sz w:val="32"/>
          <w:szCs w:val="32"/>
        </w:rPr>
        <w:t>-</w:t>
      </w:r>
      <w:r w:rsidR="00763DEE" w:rsidRPr="00763DEE">
        <w:rPr>
          <w:sz w:val="32"/>
          <w:szCs w:val="32"/>
        </w:rPr>
        <w:t>20</w:t>
      </w:r>
      <w:r w:rsidR="0058386C">
        <w:rPr>
          <w:sz w:val="32"/>
          <w:szCs w:val="32"/>
        </w:rPr>
        <w:t>0</w:t>
      </w:r>
      <w:r w:rsidR="00B21807">
        <w:rPr>
          <w:sz w:val="32"/>
          <w:szCs w:val="32"/>
        </w:rPr>
        <w:t>2</w:t>
      </w:r>
      <w:r w:rsidR="0029039E">
        <w:rPr>
          <w:sz w:val="32"/>
          <w:szCs w:val="32"/>
        </w:rPr>
        <w:t>285</w:t>
      </w:r>
    </w:p>
    <w:p w14:paraId="19054C72" w14:textId="0579B17C" w:rsidR="00E90E49" w:rsidRPr="00CE0424" w:rsidRDefault="00A3178E" w:rsidP="00311702">
      <w:pPr>
        <w:pStyle w:val="3GPPHeader"/>
      </w:pPr>
      <w:r>
        <w:t>Online</w:t>
      </w:r>
      <w:r w:rsidR="008B2163" w:rsidRPr="0094495D">
        <w:t xml:space="preserve">, </w:t>
      </w:r>
      <w:r w:rsidR="001B1884">
        <w:t>April</w:t>
      </w:r>
      <w:r w:rsidR="001B1884" w:rsidRPr="0094495D">
        <w:t xml:space="preserve"> </w:t>
      </w:r>
      <w:r w:rsidR="00CC4B52">
        <w:t>2</w:t>
      </w:r>
      <w:r w:rsidR="001B1884">
        <w:t>0</w:t>
      </w:r>
      <w:r w:rsidR="008B2163" w:rsidRPr="0094495D">
        <w:rPr>
          <w:vertAlign w:val="superscript"/>
        </w:rPr>
        <w:t>th</w:t>
      </w:r>
      <w:r w:rsidR="008B2163" w:rsidRPr="0094495D">
        <w:t xml:space="preserve"> –</w:t>
      </w:r>
      <w:r w:rsidR="001B1884">
        <w:t>30</w:t>
      </w:r>
      <w:r w:rsidR="008B2163" w:rsidRPr="0094495D">
        <w:rPr>
          <w:vertAlign w:val="superscript"/>
        </w:rPr>
        <w:t>th</w:t>
      </w:r>
      <w:r w:rsidR="008B2163" w:rsidRPr="0094495D">
        <w:t>, 2020</w:t>
      </w:r>
    </w:p>
    <w:p w14:paraId="7B526BEE" w14:textId="77777777" w:rsidR="00E90E49" w:rsidRPr="00CE0424" w:rsidRDefault="00E90E49" w:rsidP="00357380">
      <w:pPr>
        <w:pStyle w:val="3GPPHeader"/>
      </w:pPr>
    </w:p>
    <w:p w14:paraId="24038458" w14:textId="12FE13EF" w:rsidR="00E90E49" w:rsidRPr="002D423E" w:rsidRDefault="00E90E49" w:rsidP="00311702">
      <w:pPr>
        <w:pStyle w:val="3GPPHeader"/>
        <w:rPr>
          <w:sz w:val="22"/>
          <w:szCs w:val="22"/>
          <w:lang w:val="en-US"/>
        </w:rPr>
      </w:pPr>
      <w:r w:rsidRPr="002D423E">
        <w:rPr>
          <w:sz w:val="22"/>
          <w:szCs w:val="22"/>
          <w:lang w:val="en-US"/>
        </w:rPr>
        <w:t>Agenda Item:</w:t>
      </w:r>
      <w:r w:rsidRPr="002D423E">
        <w:rPr>
          <w:sz w:val="22"/>
          <w:szCs w:val="22"/>
          <w:lang w:val="en-US"/>
        </w:rPr>
        <w:tab/>
      </w:r>
      <w:r w:rsidR="00A76564">
        <w:rPr>
          <w:sz w:val="22"/>
          <w:szCs w:val="22"/>
          <w:lang w:val="en-US"/>
        </w:rPr>
        <w:t>5</w:t>
      </w:r>
    </w:p>
    <w:p w14:paraId="35F8F99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B8CC71D" w14:textId="475C8B5F" w:rsidR="00E90E49" w:rsidRPr="00CE0424" w:rsidRDefault="003D3C45" w:rsidP="00311702">
      <w:pPr>
        <w:pStyle w:val="3GPPHeader"/>
        <w:rPr>
          <w:sz w:val="22"/>
          <w:szCs w:val="22"/>
        </w:rPr>
      </w:pPr>
      <w:r>
        <w:rPr>
          <w:sz w:val="22"/>
          <w:szCs w:val="22"/>
        </w:rPr>
        <w:t>Title:</w:t>
      </w:r>
      <w:r w:rsidR="00E90E49" w:rsidRPr="00CE0424">
        <w:rPr>
          <w:sz w:val="22"/>
          <w:szCs w:val="22"/>
        </w:rPr>
        <w:tab/>
      </w:r>
      <w:r w:rsidR="0029039E">
        <w:rPr>
          <w:sz w:val="22"/>
          <w:szCs w:val="22"/>
        </w:rPr>
        <w:t xml:space="preserve">Draft LS </w:t>
      </w:r>
      <w:r w:rsidR="00BC0FA9">
        <w:rPr>
          <w:sz w:val="22"/>
          <w:szCs w:val="22"/>
        </w:rPr>
        <w:t xml:space="preserve">reply </w:t>
      </w:r>
      <w:r w:rsidR="0029039E">
        <w:rPr>
          <w:sz w:val="22"/>
          <w:szCs w:val="22"/>
        </w:rPr>
        <w:t xml:space="preserve">on </w:t>
      </w:r>
      <w:proofErr w:type="spellStart"/>
      <w:r w:rsidR="0029039E">
        <w:rPr>
          <w:sz w:val="22"/>
          <w:szCs w:val="22"/>
        </w:rPr>
        <w:t>eMIMO</w:t>
      </w:r>
      <w:proofErr w:type="spellEnd"/>
      <w:r w:rsidR="0029039E">
        <w:rPr>
          <w:sz w:val="22"/>
          <w:szCs w:val="22"/>
        </w:rPr>
        <w:t xml:space="preserve"> RRC parameters</w:t>
      </w:r>
    </w:p>
    <w:p w14:paraId="52BF7D8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63DEE">
        <w:rPr>
          <w:sz w:val="22"/>
          <w:szCs w:val="22"/>
        </w:rPr>
        <w:t>Discussion, Decision</w:t>
      </w:r>
    </w:p>
    <w:p w14:paraId="173F5D4A" w14:textId="7080199D" w:rsidR="00E90E49" w:rsidRPr="00CE0424" w:rsidRDefault="00D02893" w:rsidP="00CE0424">
      <w:pPr>
        <w:pStyle w:val="Heading1"/>
      </w:pPr>
      <w:r>
        <w:t>0</w:t>
      </w:r>
      <w:r w:rsidR="00230D18">
        <w:tab/>
      </w:r>
      <w:r w:rsidR="006E1149">
        <w:t>I</w:t>
      </w:r>
      <w:r w:rsidR="003761A1">
        <w:t>ntroduction</w:t>
      </w:r>
    </w:p>
    <w:p w14:paraId="1ECC6555" w14:textId="68587FE5" w:rsidR="00400909" w:rsidRDefault="009443F0" w:rsidP="00C268AC">
      <w:pPr>
        <w:jc w:val="both"/>
        <w:rPr>
          <w:b/>
          <w:bCs/>
        </w:rPr>
      </w:pPr>
      <w:r>
        <w:t xml:space="preserve">In </w:t>
      </w:r>
      <w:r w:rsidR="003761A1" w:rsidRPr="003761A1">
        <w:rPr>
          <w:b/>
          <w:bCs/>
        </w:rPr>
        <w:t>R2-2001683</w:t>
      </w:r>
      <w:r w:rsidR="003761A1">
        <w:rPr>
          <w:b/>
          <w:bCs/>
        </w:rPr>
        <w:t xml:space="preserve">, </w:t>
      </w:r>
      <w:r w:rsidR="003761A1" w:rsidRPr="003761A1">
        <w:t xml:space="preserve">RAN2 asks RAN1 five questions related to </w:t>
      </w:r>
      <w:proofErr w:type="spellStart"/>
      <w:r w:rsidR="003761A1" w:rsidRPr="003761A1">
        <w:t>eMIMO</w:t>
      </w:r>
      <w:proofErr w:type="spellEnd"/>
      <w:r w:rsidR="003761A1" w:rsidRPr="003761A1">
        <w:t xml:space="preserve"> RRC parameters. This document provides our suggested reply answers.</w:t>
      </w:r>
      <w:r w:rsidR="003761A1">
        <w:rPr>
          <w:b/>
          <w:bCs/>
        </w:rPr>
        <w:t xml:space="preserve"> </w:t>
      </w:r>
    </w:p>
    <w:p w14:paraId="262F6FD3" w14:textId="6CDBB677" w:rsidR="003761A1" w:rsidRPr="001E2C05" w:rsidRDefault="00D02893" w:rsidP="004E2957">
      <w:pPr>
        <w:pStyle w:val="Heading1"/>
      </w:pPr>
      <w:r>
        <w:t>1</w:t>
      </w:r>
      <w:r w:rsidR="004E2957">
        <w:tab/>
      </w:r>
      <w:r w:rsidR="001E2C05">
        <w:t xml:space="preserve">Question 1 </w:t>
      </w:r>
      <w:r w:rsidR="001E2C05" w:rsidRPr="001E2C05">
        <w:t>UL Full Power Transmission</w:t>
      </w:r>
    </w:p>
    <w:p w14:paraId="15160997" w14:textId="77777777" w:rsidR="004E2957" w:rsidRDefault="004E2957" w:rsidP="004E2957">
      <w:pPr>
        <w:pStyle w:val="Header"/>
        <w:ind w:left="1440"/>
        <w:rPr>
          <w:rFonts w:cs="Arial"/>
          <w:b w:val="0"/>
          <w:bCs/>
          <w:lang w:eastAsia="ko-KR"/>
        </w:rPr>
      </w:pPr>
    </w:p>
    <w:p w14:paraId="097AA39A" w14:textId="77777777" w:rsidR="004E2957" w:rsidRDefault="004E2957" w:rsidP="00CF49CD">
      <w:pPr>
        <w:pStyle w:val="Header"/>
        <w:rPr>
          <w:rFonts w:cs="Arial"/>
          <w:b w:val="0"/>
          <w:bCs/>
          <w:lang w:eastAsia="ko-KR"/>
        </w:rPr>
      </w:pPr>
      <w:r>
        <w:rPr>
          <w:rFonts w:cs="Arial"/>
          <w:lang w:eastAsia="ko-KR"/>
        </w:rPr>
        <w:t xml:space="preserve">The ULFPTX seems to have three distinct modes of operation which is why RAN2 agreed to support ULFPTX by parameter </w:t>
      </w:r>
      <w:r>
        <w:rPr>
          <w:rFonts w:cs="Arial"/>
          <w:i/>
          <w:iCs/>
          <w:lang w:eastAsia="ko-KR"/>
        </w:rPr>
        <w:t>ul-FullPowerTransmission</w:t>
      </w:r>
      <w:r>
        <w:rPr>
          <w:rFonts w:cs="Arial"/>
          <w:lang w:eastAsia="ko-KR"/>
        </w:rPr>
        <w:t xml:space="preserve"> in IE </w:t>
      </w:r>
      <w:r>
        <w:rPr>
          <w:rFonts w:cs="Arial"/>
          <w:i/>
          <w:iCs/>
          <w:lang w:eastAsia="ko-KR"/>
        </w:rPr>
        <w:t>PUSCH-Config</w:t>
      </w:r>
      <w:r>
        <w:rPr>
          <w:rFonts w:cs="Arial"/>
          <w:lang w:eastAsia="ko-KR"/>
        </w:rPr>
        <w:t xml:space="preserve"> as follows in [1]:</w:t>
      </w:r>
    </w:p>
    <w:p w14:paraId="40E2F1D5" w14:textId="77777777" w:rsidR="004E2957" w:rsidRDefault="004E2957" w:rsidP="00CF49CD">
      <w:pPr>
        <w:pStyle w:val="Header"/>
        <w:rPr>
          <w:rFonts w:cs="Arial"/>
          <w:b w:val="0"/>
          <w:bCs/>
          <w:lang w:val="en-US" w:eastAsia="ko-KR"/>
        </w:rPr>
      </w:pPr>
    </w:p>
    <w:p w14:paraId="5D645CA2" w14:textId="77777777" w:rsidR="004E2957" w:rsidRDefault="004E2957" w:rsidP="00CF49CD">
      <w:pPr>
        <w:pStyle w:val="PL"/>
        <w:rPr>
          <w:rFonts w:cs="Courier New"/>
          <w:lang w:eastAsia="en-GB"/>
        </w:rPr>
      </w:pPr>
      <w:r>
        <w:rPr>
          <w:color w:val="000000"/>
        </w:rPr>
        <w:t>    ul-FullPowerTransmission-r16            ENUMERATED {fullpower, fullpowerMode1, fullpoweMode2}     OPTIONAL    -- Need R</w:t>
      </w:r>
    </w:p>
    <w:p w14:paraId="6E428E09" w14:textId="77777777" w:rsidR="004E2957" w:rsidRDefault="004E2957" w:rsidP="00CF49CD">
      <w:pPr>
        <w:pStyle w:val="Header"/>
        <w:rPr>
          <w:rFonts w:cs="Arial"/>
          <w:bCs/>
          <w:lang w:eastAsia="ko-KR"/>
        </w:rPr>
      </w:pPr>
    </w:p>
    <w:p w14:paraId="0A4FF1A6" w14:textId="77777777" w:rsidR="004E2957" w:rsidRDefault="004E2957" w:rsidP="00CF49CD">
      <w:pPr>
        <w:pStyle w:val="TAL"/>
        <w:rPr>
          <w:rFonts w:cs="Arial"/>
          <w:b/>
          <w:bCs/>
          <w:i/>
          <w:iCs/>
          <w:lang w:val="en-GB" w:eastAsia="ja-JP"/>
        </w:rPr>
      </w:pPr>
      <w:r>
        <w:rPr>
          <w:b/>
          <w:bCs/>
          <w:i/>
          <w:iCs/>
          <w:lang w:val="en-GB" w:eastAsia="ja-JP"/>
        </w:rPr>
        <w:t>ul-</w:t>
      </w:r>
      <w:proofErr w:type="spellStart"/>
      <w:r>
        <w:rPr>
          <w:b/>
          <w:bCs/>
          <w:i/>
          <w:iCs/>
          <w:lang w:val="en-GB" w:eastAsia="ja-JP"/>
        </w:rPr>
        <w:t>FullPowerTransmission</w:t>
      </w:r>
      <w:proofErr w:type="spellEnd"/>
    </w:p>
    <w:p w14:paraId="37F622E1" w14:textId="77777777" w:rsidR="004E2957" w:rsidRDefault="004E2957" w:rsidP="00CF49CD">
      <w:pPr>
        <w:pStyle w:val="Header"/>
        <w:rPr>
          <w:rFonts w:cs="Arial"/>
          <w:b w:val="0"/>
          <w:bCs/>
          <w:lang w:eastAsia="ko-KR"/>
        </w:rPr>
      </w:pPr>
      <w:r>
        <w:t>Configures the UE with UL full power transmission mode as specified in TS 38.xxxx.</w:t>
      </w:r>
    </w:p>
    <w:p w14:paraId="78A4E6B4" w14:textId="77777777" w:rsidR="004E2957" w:rsidRDefault="004E2957" w:rsidP="00CF49CD">
      <w:pPr>
        <w:pStyle w:val="Header"/>
        <w:rPr>
          <w:rFonts w:cs="Arial"/>
          <w:b w:val="0"/>
          <w:lang w:eastAsia="ko-KR"/>
        </w:rPr>
      </w:pPr>
    </w:p>
    <w:p w14:paraId="693386D7" w14:textId="77777777" w:rsidR="004E2957" w:rsidRDefault="004E2957" w:rsidP="00CF49CD">
      <w:pPr>
        <w:pStyle w:val="Header"/>
        <w:rPr>
          <w:rFonts w:cs="Arial"/>
          <w:lang w:eastAsia="ko-KR"/>
        </w:rPr>
      </w:pPr>
      <w:r>
        <w:rPr>
          <w:rFonts w:cs="Arial"/>
          <w:lang w:eastAsia="ko-KR"/>
        </w:rPr>
        <w:t>It is understood that this would imply certain changes needed in TS 38.213.</w:t>
      </w:r>
    </w:p>
    <w:p w14:paraId="78C8E541" w14:textId="77777777" w:rsidR="004E2957" w:rsidRDefault="004E2957" w:rsidP="00CF49CD">
      <w:pPr>
        <w:pStyle w:val="Header"/>
        <w:rPr>
          <w:rFonts w:cs="Arial"/>
          <w:lang w:eastAsia="ko-KR"/>
        </w:rPr>
      </w:pPr>
    </w:p>
    <w:p w14:paraId="4E0FF82E" w14:textId="77777777" w:rsidR="004E2957" w:rsidRDefault="004E2957" w:rsidP="00CF49CD">
      <w:pPr>
        <w:pStyle w:val="Header"/>
        <w:rPr>
          <w:rFonts w:cs="Arial"/>
          <w:bCs/>
          <w:lang w:eastAsia="ko-KR"/>
        </w:rPr>
      </w:pPr>
      <w:r w:rsidRPr="001E2C05">
        <w:rPr>
          <w:rFonts w:cs="Arial"/>
          <w:b w:val="0"/>
          <w:bCs/>
          <w:highlight w:val="yellow"/>
          <w:lang w:eastAsia="ko-KR"/>
        </w:rPr>
        <w:t>Question 1.</w:t>
      </w:r>
      <w:r>
        <w:rPr>
          <w:rFonts w:cs="Arial"/>
          <w:b w:val="0"/>
          <w:bCs/>
          <w:lang w:eastAsia="ko-KR"/>
        </w:rPr>
        <w:t xml:space="preserve"> </w:t>
      </w:r>
    </w:p>
    <w:p w14:paraId="55B0E96E" w14:textId="77777777" w:rsidR="004E2957" w:rsidRDefault="004E2957" w:rsidP="00CF49CD">
      <w:pPr>
        <w:pStyle w:val="Header"/>
        <w:rPr>
          <w:rFonts w:cs="Arial"/>
          <w:b w:val="0"/>
          <w:lang w:eastAsia="ko-KR"/>
        </w:rPr>
      </w:pPr>
      <w:r>
        <w:rPr>
          <w:rFonts w:cs="Arial"/>
          <w:lang w:eastAsia="ko-KR"/>
        </w:rPr>
        <w:t>RAN2 would like to inform RAN1 about the above agreement and ask RAN1 to indicate if they find issues with the agreement.</w:t>
      </w:r>
    </w:p>
    <w:p w14:paraId="57F183ED" w14:textId="77777777" w:rsidR="001E2C05" w:rsidRDefault="001E2C05" w:rsidP="00CF49CD">
      <w:pPr>
        <w:pStyle w:val="Header"/>
        <w:rPr>
          <w:rFonts w:cs="Arial"/>
          <w:b w:val="0"/>
          <w:bCs/>
          <w:highlight w:val="yellow"/>
          <w:lang w:eastAsia="ko-KR"/>
        </w:rPr>
      </w:pPr>
    </w:p>
    <w:p w14:paraId="5B958786" w14:textId="14E1DC6F" w:rsidR="004E2957" w:rsidRPr="00CF49CD" w:rsidRDefault="005D0294" w:rsidP="00CF49CD">
      <w:pPr>
        <w:rPr>
          <w:b/>
          <w:bCs/>
          <w:color w:val="0070C0"/>
          <w:lang w:val="en-US"/>
        </w:rPr>
      </w:pPr>
      <w:r w:rsidRPr="00CF49CD">
        <w:rPr>
          <w:b/>
          <w:bCs/>
          <w:color w:val="4472C4" w:themeColor="accent1"/>
          <w:lang w:eastAsia="ko-KR"/>
        </w:rPr>
        <w:t xml:space="preserve"> </w:t>
      </w:r>
      <w:r w:rsidR="00103695" w:rsidRPr="00CF49CD">
        <w:rPr>
          <w:b/>
          <w:bCs/>
          <w:color w:val="4472C4" w:themeColor="accent1"/>
          <w:lang w:eastAsia="ko-KR"/>
        </w:rPr>
        <w:t>[</w:t>
      </w:r>
      <w:r w:rsidR="00103695" w:rsidRPr="00CF49CD">
        <w:rPr>
          <w:b/>
          <w:bCs/>
          <w:color w:val="4472C4" w:themeColor="accent1"/>
        </w:rPr>
        <w:t>Ericsson explanation</w:t>
      </w:r>
      <w:r w:rsidR="00103695" w:rsidRPr="00CF49CD">
        <w:rPr>
          <w:b/>
          <w:bCs/>
          <w:color w:val="4472C4" w:themeColor="accent1"/>
          <w:lang w:eastAsia="ko-KR"/>
        </w:rPr>
        <w:t>] </w:t>
      </w:r>
    </w:p>
    <w:p w14:paraId="127D13AC" w14:textId="77777777" w:rsidR="004E2957" w:rsidRPr="00CF49CD" w:rsidRDefault="004E2957" w:rsidP="00CF49CD">
      <w:pPr>
        <w:rPr>
          <w:b/>
          <w:bCs/>
        </w:rPr>
      </w:pPr>
      <w:r w:rsidRPr="00CF49CD">
        <w:rPr>
          <w:b/>
          <w:bCs/>
        </w:rPr>
        <w:t>1. Full power configuration as it presently is in 38.213</w:t>
      </w:r>
    </w:p>
    <w:p w14:paraId="636867DA" w14:textId="77777777" w:rsidR="004E2957" w:rsidRPr="00CF49CD" w:rsidRDefault="004E2957" w:rsidP="00CF49CD">
      <w:r w:rsidRPr="00CF49CD">
        <w:t xml:space="preserve">With RAN2’s version of the RRC parameters, </w:t>
      </w:r>
      <w:proofErr w:type="spellStart"/>
      <w:r w:rsidRPr="00CF49CD">
        <w:t>ULFPTxModes</w:t>
      </w:r>
      <w:proofErr w:type="spellEnd"/>
      <w:r w:rsidRPr="00CF49CD">
        <w:t xml:space="preserve"> and </w:t>
      </w:r>
      <w:proofErr w:type="spellStart"/>
      <w:r w:rsidRPr="00CF49CD">
        <w:t>ULFPTx</w:t>
      </w:r>
      <w:proofErr w:type="spellEnd"/>
      <w:r w:rsidRPr="00CF49CD">
        <w:t xml:space="preserve"> are merged into one parameter.  Prior to this merger we had the following states of UL full power operation:</w:t>
      </w:r>
    </w:p>
    <w:p w14:paraId="37650324" w14:textId="77777777" w:rsidR="004E2957" w:rsidRPr="00CF49CD" w:rsidRDefault="004E2957" w:rsidP="00CF49CD">
      <w:pPr>
        <w:pStyle w:val="ListParagraph"/>
        <w:numPr>
          <w:ilvl w:val="0"/>
          <w:numId w:val="33"/>
        </w:numPr>
        <w:overflowPunct/>
        <w:autoSpaceDE/>
        <w:autoSpaceDN/>
        <w:adjustRightInd/>
        <w:textAlignment w:val="auto"/>
      </w:pPr>
      <w:proofErr w:type="spellStart"/>
      <w:r w:rsidRPr="00CF49CD">
        <w:t>ULFPTx</w:t>
      </w:r>
      <w:proofErr w:type="spellEnd"/>
      <w:r w:rsidRPr="00CF49CD">
        <w:t xml:space="preserve"> is configured to indicate that full power is used </w:t>
      </w:r>
    </w:p>
    <w:p w14:paraId="393659F7" w14:textId="77777777" w:rsidR="004E2957" w:rsidRPr="00CF49CD" w:rsidRDefault="004E2957" w:rsidP="00CF49CD">
      <w:pPr>
        <w:pStyle w:val="ListParagraph"/>
        <w:numPr>
          <w:ilvl w:val="0"/>
          <w:numId w:val="33"/>
        </w:numPr>
        <w:overflowPunct/>
        <w:autoSpaceDE/>
        <w:autoSpaceDN/>
        <w:adjustRightInd/>
        <w:textAlignment w:val="auto"/>
      </w:pPr>
      <w:proofErr w:type="spellStart"/>
      <w:r w:rsidRPr="00CF49CD">
        <w:t>ULFPTxModes</w:t>
      </w:r>
      <w:proofErr w:type="spellEnd"/>
      <w:r w:rsidRPr="00CF49CD">
        <w:t xml:space="preserve"> is additionally configured if full power Mode 1 or Mode 2 is used</w:t>
      </w:r>
    </w:p>
    <w:p w14:paraId="7526230E" w14:textId="77777777" w:rsidR="004E2957" w:rsidRPr="00CF49CD" w:rsidRDefault="004E2957" w:rsidP="00CF49CD">
      <w:pPr>
        <w:pStyle w:val="ListParagraph"/>
        <w:numPr>
          <w:ilvl w:val="0"/>
          <w:numId w:val="33"/>
        </w:numPr>
        <w:overflowPunct/>
        <w:autoSpaceDE/>
        <w:autoSpaceDN/>
        <w:adjustRightInd/>
        <w:spacing w:after="180"/>
        <w:textAlignment w:val="auto"/>
      </w:pPr>
      <w:r w:rsidRPr="00CF49CD">
        <w:t xml:space="preserve">If </w:t>
      </w:r>
      <w:proofErr w:type="spellStart"/>
      <w:r w:rsidRPr="00CF49CD">
        <w:t>ULFPTx</w:t>
      </w:r>
      <w:proofErr w:type="spellEnd"/>
      <w:r w:rsidRPr="00CF49CD">
        <w:t xml:space="preserve"> is configured and </w:t>
      </w:r>
      <w:proofErr w:type="spellStart"/>
      <w:r w:rsidRPr="00CF49CD">
        <w:t>ULFPTxModes</w:t>
      </w:r>
      <w:proofErr w:type="spellEnd"/>
      <w:r w:rsidRPr="00CF49CD">
        <w:t xml:space="preserve"> is not configured, a third power scaling (so-called ‘mode 0’) is used</w:t>
      </w:r>
    </w:p>
    <w:p w14:paraId="6E266C36" w14:textId="5E1E198F" w:rsidR="004E2957" w:rsidRPr="00CF49CD" w:rsidRDefault="004E2957" w:rsidP="00CF49CD">
      <w:r w:rsidRPr="00CF49CD">
        <w:t>The RAN2 version now just says that full power is used, full power mode 1 is used, or that full power mode 2 is used through the ‘ul-</w:t>
      </w:r>
      <w:proofErr w:type="spellStart"/>
      <w:r w:rsidRPr="00CF49CD">
        <w:t>FullPowerTransmission</w:t>
      </w:r>
      <w:proofErr w:type="spellEnd"/>
      <w:r w:rsidRPr="00CF49CD">
        <w:t xml:space="preserve">’ parameter, which </w:t>
      </w:r>
      <w:r w:rsidR="00412318">
        <w:t xml:space="preserve">allows a </w:t>
      </w:r>
      <w:proofErr w:type="gramStart"/>
      <w:r w:rsidR="00412318">
        <w:t>more clear</w:t>
      </w:r>
      <w:proofErr w:type="gramEnd"/>
      <w:r w:rsidR="00412318">
        <w:t xml:space="preserve"> understanding of </w:t>
      </w:r>
      <w:r w:rsidRPr="00CF49CD">
        <w:t>the 3 modes of full power operation.</w:t>
      </w:r>
    </w:p>
    <w:p w14:paraId="00549A8E" w14:textId="192FC93E" w:rsidR="004E2957" w:rsidRPr="00CF49CD" w:rsidRDefault="004E2957" w:rsidP="00CF49CD">
      <w:pPr>
        <w:keepNext/>
        <w:spacing w:before="180"/>
        <w:rPr>
          <w:b/>
          <w:bCs/>
        </w:rPr>
      </w:pPr>
      <w:r w:rsidRPr="00CF49CD">
        <w:rPr>
          <w:b/>
          <w:bCs/>
        </w:rPr>
        <w:t>2. Compliance with RAN2 guidance on UE ‘incapability’</w:t>
      </w:r>
      <w:r w:rsidR="00AE5732" w:rsidRPr="00CF49CD">
        <w:rPr>
          <w:b/>
          <w:bCs/>
        </w:rPr>
        <w:t xml:space="preserve"> and status in ongoing UE feature discussions</w:t>
      </w:r>
    </w:p>
    <w:p w14:paraId="48B9F47B" w14:textId="6D42347E" w:rsidR="004E2957" w:rsidRPr="00CF49CD" w:rsidRDefault="004E2957" w:rsidP="00BF427F">
      <w:r w:rsidRPr="00CF49CD">
        <w:t xml:space="preserve">The use of ‘mode 0’ when </w:t>
      </w:r>
      <w:proofErr w:type="spellStart"/>
      <w:r w:rsidRPr="00CF49CD">
        <w:t>ULFPTx</w:t>
      </w:r>
      <w:proofErr w:type="spellEnd"/>
      <w:r w:rsidRPr="00CF49CD">
        <w:t xml:space="preserve"> is configured but </w:t>
      </w:r>
      <w:proofErr w:type="spellStart"/>
      <w:r w:rsidRPr="00CF49CD">
        <w:t>ULFPTxModes</w:t>
      </w:r>
      <w:proofErr w:type="spellEnd"/>
      <w:r w:rsidRPr="00CF49CD">
        <w:t xml:space="preserve"> is not configured is inconsistent with RAN2 guidelines on UE features in the LS coming to RAN1 R2-2002378.  The guidelines say to ‘Avoid defining “incapability” bits as they may cause interpretation issues’.  Not configuring </w:t>
      </w:r>
      <w:proofErr w:type="spellStart"/>
      <w:r w:rsidRPr="00CF49CD">
        <w:t>ULFPTxModes</w:t>
      </w:r>
      <w:proofErr w:type="spellEnd"/>
      <w:r w:rsidRPr="00CF49CD">
        <w:t xml:space="preserve"> is used to convey that </w:t>
      </w:r>
      <w:r w:rsidRPr="00CF49CD">
        <w:lastRenderedPageBreak/>
        <w:t xml:space="preserve">‘mode 0’ is used, which would occur when the UE is not capable of supporting Mode 1 or 2.  However, support for ‘mode 0’ should be conveyed with a positive assertion, i.e., that the UE is capable of mode 0, rather than incapable of both Modes 1 and 2.  The RRC </w:t>
      </w:r>
      <w:proofErr w:type="spellStart"/>
      <w:r w:rsidRPr="00CF49CD">
        <w:t>signaling</w:t>
      </w:r>
      <w:proofErr w:type="spellEnd"/>
      <w:r w:rsidRPr="00CF49CD">
        <w:t xml:space="preserve"> configuring these capabilities should then be consistent with the capability definitions.</w:t>
      </w:r>
    </w:p>
    <w:p w14:paraId="3F483364" w14:textId="4ACE40C1" w:rsidR="00AE5732" w:rsidRPr="00CF49CD" w:rsidRDefault="00AE5732" w:rsidP="00CF49CD">
      <w:r w:rsidRPr="00CF49CD">
        <w:t xml:space="preserve">In the ongoing UE features discussion summarized in R1-2001484, independent UE features are currently defined for modes ‘0’, 1 and 2: 16-5 a, b, and c respectively.  Defining the 3 modes as independent features </w:t>
      </w:r>
      <w:r w:rsidR="00F34100">
        <w:t xml:space="preserve">is important as it </w:t>
      </w:r>
      <w:r>
        <w:t xml:space="preserve">allows </w:t>
      </w:r>
      <w:r w:rsidRPr="00AE5732">
        <w:t xml:space="preserve">UEs </w:t>
      </w:r>
      <w:r>
        <w:t xml:space="preserve">to </w:t>
      </w:r>
      <w:r w:rsidR="006B2450">
        <w:t>support full power</w:t>
      </w:r>
      <w:r>
        <w:t xml:space="preserve"> </w:t>
      </w:r>
      <w:r w:rsidRPr="00AE5732">
        <w:t>in a network that does not support one of Mode 0, 1, or 2</w:t>
      </w:r>
      <w:r w:rsidR="00F34100">
        <w:t>, and without this independence UEs would have to preclude support in such networks.</w:t>
      </w:r>
    </w:p>
    <w:p w14:paraId="07FF8001" w14:textId="77777777" w:rsidR="004E2957" w:rsidRPr="00CF49CD" w:rsidRDefault="004E2957" w:rsidP="00CF49CD">
      <w:pPr>
        <w:spacing w:before="180"/>
        <w:rPr>
          <w:b/>
          <w:bCs/>
        </w:rPr>
      </w:pPr>
      <w:r w:rsidRPr="00CF49CD">
        <w:rPr>
          <w:b/>
          <w:bCs/>
        </w:rPr>
        <w:t>3. Background: RAN2 tasked to define exact RRC parameters</w:t>
      </w:r>
    </w:p>
    <w:p w14:paraId="6FDE4827" w14:textId="5EF83FD9" w:rsidR="004E2957" w:rsidRPr="00CF49CD" w:rsidRDefault="004E2957" w:rsidP="00CF49CD">
      <w:r w:rsidRPr="00CF49CD">
        <w:t xml:space="preserve">Lastly, it should be noted there was some debate in RAN1#98bis at the time two parameters were created, so it may be helpful to provide some background here.  The resulting agreement is below, where </w:t>
      </w:r>
      <w:proofErr w:type="gramStart"/>
      <w:r w:rsidRPr="00CF49CD">
        <w:t>it can be seen that RAN2</w:t>
      </w:r>
      <w:proofErr w:type="gramEnd"/>
      <w:r w:rsidRPr="00CF49CD">
        <w:t xml:space="preserve"> was left to define the exact parameters.</w:t>
      </w:r>
    </w:p>
    <w:p w14:paraId="2F71E0E5" w14:textId="77777777" w:rsidR="00BF427F" w:rsidRPr="00467F8E" w:rsidRDefault="00BF427F" w:rsidP="00CF49CD">
      <w:pPr>
        <w:spacing w:after="0"/>
        <w:ind w:left="360"/>
        <w:rPr>
          <w:b/>
          <w:bCs/>
          <w:lang w:val="fr-FR" w:eastAsia="en-US"/>
        </w:rPr>
      </w:pPr>
      <w:r w:rsidRPr="00467F8E">
        <w:rPr>
          <w:b/>
          <w:bCs/>
          <w:highlight w:val="green"/>
          <w:lang w:val="fr-FR"/>
        </w:rPr>
        <w:t>Agreement</w:t>
      </w:r>
    </w:p>
    <w:p w14:paraId="3ECD6BA3" w14:textId="77777777" w:rsidR="00BF427F" w:rsidRPr="00CF49CD" w:rsidRDefault="00BF427F" w:rsidP="00CF49CD">
      <w:pPr>
        <w:pStyle w:val="Style1"/>
        <w:numPr>
          <w:ilvl w:val="0"/>
          <w:numId w:val="37"/>
        </w:numPr>
        <w:spacing w:after="0" w:line="240" w:lineRule="auto"/>
        <w:ind w:left="1080"/>
        <w:rPr>
          <w:rFonts w:ascii="Times" w:hAnsi="Times" w:cs="Times"/>
          <w:lang w:val="en-US"/>
        </w:rPr>
      </w:pPr>
      <w:r w:rsidRPr="00CF49CD">
        <w:rPr>
          <w:rFonts w:ascii="Times" w:hAnsi="Times" w:cs="Times"/>
        </w:rPr>
        <w:t xml:space="preserve">Support RRC configuration to operate in Mode1 or Mode2 subject to UE capability </w:t>
      </w:r>
    </w:p>
    <w:p w14:paraId="69A719C3" w14:textId="77777777" w:rsidR="00BF427F" w:rsidRPr="00CF49CD" w:rsidRDefault="00BF427F" w:rsidP="00CF49CD">
      <w:pPr>
        <w:pStyle w:val="Style1"/>
        <w:numPr>
          <w:ilvl w:val="1"/>
          <w:numId w:val="37"/>
        </w:numPr>
        <w:spacing w:after="0" w:line="240" w:lineRule="auto"/>
        <w:ind w:left="1800"/>
        <w:rPr>
          <w:rFonts w:ascii="Times" w:hAnsi="Times" w:cs="Times"/>
        </w:rPr>
      </w:pPr>
      <w:r w:rsidRPr="00CF49CD">
        <w:rPr>
          <w:rFonts w:ascii="Times" w:hAnsi="Times" w:cs="Times"/>
        </w:rPr>
        <w:t>For UE capabilty-2 and-3, gNB can configure a UE to operate in Mode 1 or Mode 2 subject to UE capability</w:t>
      </w:r>
    </w:p>
    <w:p w14:paraId="4A944DF8" w14:textId="77777777" w:rsidR="00BF427F" w:rsidRPr="00CF49CD" w:rsidRDefault="00BF427F" w:rsidP="00CF49CD">
      <w:pPr>
        <w:pStyle w:val="Style1"/>
        <w:numPr>
          <w:ilvl w:val="2"/>
          <w:numId w:val="37"/>
        </w:numPr>
        <w:spacing w:after="0" w:line="240" w:lineRule="auto"/>
        <w:ind w:left="2520"/>
        <w:rPr>
          <w:rFonts w:ascii="Times" w:hAnsi="Times" w:cs="Times"/>
        </w:rPr>
      </w:pPr>
      <w:proofErr w:type="gramStart"/>
      <w:r w:rsidRPr="00CF49CD">
        <w:rPr>
          <w:rFonts w:ascii="Times" w:hAnsi="Times" w:cs="Times"/>
        </w:rPr>
        <w:t>Note :</w:t>
      </w:r>
      <w:proofErr w:type="gramEnd"/>
      <w:r w:rsidRPr="00CF49CD">
        <w:rPr>
          <w:rFonts w:ascii="Times" w:hAnsi="Times" w:cs="Times"/>
        </w:rPr>
        <w:t xml:space="preserve"> if UE only supports Mode 1 gNB cannot configure this UE to operate in Mode 2, if UE only supports Mode 2 gNB cannot configure this UE to operate in Mode 1</w:t>
      </w:r>
    </w:p>
    <w:p w14:paraId="367FEDCC" w14:textId="77777777" w:rsidR="00BF427F" w:rsidRPr="00CF49CD" w:rsidRDefault="00BF427F" w:rsidP="00CF49CD">
      <w:pPr>
        <w:pStyle w:val="Style1"/>
        <w:numPr>
          <w:ilvl w:val="1"/>
          <w:numId w:val="37"/>
        </w:numPr>
        <w:spacing w:after="0" w:line="240" w:lineRule="auto"/>
        <w:ind w:left="1800"/>
        <w:rPr>
          <w:rFonts w:ascii="Times" w:hAnsi="Times" w:cs="Times"/>
        </w:rPr>
      </w:pPr>
      <w:r w:rsidRPr="00CF49CD">
        <w:rPr>
          <w:rFonts w:ascii="Times" w:hAnsi="Times" w:cs="Times"/>
        </w:rPr>
        <w:t xml:space="preserve">FFS: UE capability </w:t>
      </w:r>
      <w:proofErr w:type="spellStart"/>
      <w:r w:rsidRPr="00CF49CD">
        <w:rPr>
          <w:rFonts w:ascii="Times" w:hAnsi="Times" w:cs="Times"/>
        </w:rPr>
        <w:t>signaling</w:t>
      </w:r>
      <w:proofErr w:type="spellEnd"/>
      <w:r w:rsidRPr="00CF49CD">
        <w:rPr>
          <w:rFonts w:ascii="Times" w:hAnsi="Times" w:cs="Times"/>
        </w:rPr>
        <w:t xml:space="preserve"> discussion</w:t>
      </w:r>
    </w:p>
    <w:p w14:paraId="64D2889E" w14:textId="77777777" w:rsidR="00BF427F" w:rsidRPr="00CF49CD" w:rsidRDefault="00BF427F" w:rsidP="00CF49CD">
      <w:pPr>
        <w:pStyle w:val="Style1"/>
        <w:numPr>
          <w:ilvl w:val="1"/>
          <w:numId w:val="37"/>
        </w:numPr>
        <w:spacing w:after="0" w:line="240" w:lineRule="auto"/>
        <w:ind w:left="1800"/>
        <w:rPr>
          <w:rFonts w:ascii="Times" w:hAnsi="Times" w:cs="Times"/>
          <w:highlight w:val="yellow"/>
        </w:rPr>
      </w:pPr>
      <w:r w:rsidRPr="00CF49CD">
        <w:rPr>
          <w:rFonts w:ascii="Times" w:hAnsi="Times" w:cs="Times"/>
          <w:highlight w:val="yellow"/>
        </w:rPr>
        <w:t xml:space="preserve">Note: capability-1 UE can be configured with RRC parameter </w:t>
      </w:r>
      <w:r w:rsidRPr="00CF49CD">
        <w:rPr>
          <w:rFonts w:hint="eastAsia"/>
          <w:highlight w:val="yellow"/>
        </w:rPr>
        <w:t>“</w:t>
      </w:r>
      <w:proofErr w:type="spellStart"/>
      <w:r w:rsidRPr="00CF49CD">
        <w:rPr>
          <w:rFonts w:ascii="Times" w:hAnsi="Times" w:cs="Times"/>
          <w:highlight w:val="yellow"/>
        </w:rPr>
        <w:t>ULFPTx</w:t>
      </w:r>
      <w:proofErr w:type="spellEnd"/>
      <w:r w:rsidRPr="00CF49CD">
        <w:rPr>
          <w:rFonts w:hint="eastAsia"/>
          <w:highlight w:val="yellow"/>
        </w:rPr>
        <w:t>”</w:t>
      </w:r>
      <w:r w:rsidRPr="00CF49CD">
        <w:rPr>
          <w:rFonts w:ascii="Times" w:hAnsi="Times" w:cs="Times"/>
          <w:highlight w:val="yellow"/>
        </w:rPr>
        <w:t xml:space="preserve"> to deliver UL full power has been agreed, exact parameter name is up to RAN2</w:t>
      </w:r>
    </w:p>
    <w:p w14:paraId="7BD0099C" w14:textId="77777777" w:rsidR="00BF427F" w:rsidRPr="00CF49CD" w:rsidRDefault="00BF427F" w:rsidP="00CF49CD">
      <w:pPr>
        <w:pStyle w:val="Style1"/>
        <w:numPr>
          <w:ilvl w:val="0"/>
          <w:numId w:val="37"/>
        </w:numPr>
        <w:spacing w:after="0" w:line="240" w:lineRule="auto"/>
        <w:ind w:left="1080"/>
        <w:rPr>
          <w:rFonts w:ascii="Times" w:hAnsi="Times" w:cs="Times"/>
        </w:rPr>
      </w:pPr>
      <w:r w:rsidRPr="00CF49CD">
        <w:rPr>
          <w:rFonts w:ascii="Times" w:hAnsi="Times" w:cs="Times"/>
        </w:rPr>
        <w:t xml:space="preserve">If gNB does not configure UE for Rel-16 full power UL transmission, Rel-16 UEs operate in Rel-15 </w:t>
      </w:r>
      <w:proofErr w:type="spellStart"/>
      <w:r w:rsidRPr="00CF49CD">
        <w:rPr>
          <w:rFonts w:ascii="Times" w:hAnsi="Times" w:cs="Times"/>
        </w:rPr>
        <w:t>behavior</w:t>
      </w:r>
      <w:proofErr w:type="spellEnd"/>
    </w:p>
    <w:p w14:paraId="74B644BD" w14:textId="77777777" w:rsidR="00BF427F" w:rsidRPr="00CF49CD" w:rsidRDefault="00BF427F" w:rsidP="008D49E4"/>
    <w:p w14:paraId="066ADACE" w14:textId="6580A949" w:rsidR="008D49E4" w:rsidRPr="00730AEC" w:rsidRDefault="008D49E4" w:rsidP="00CF49CD">
      <w:pPr>
        <w:spacing w:after="0"/>
      </w:pPr>
      <w:r w:rsidRPr="00CF49CD">
        <w:rPr>
          <w:b/>
          <w:bCs/>
        </w:rPr>
        <w:t>Observations</w:t>
      </w:r>
      <w:r w:rsidRPr="00CF49CD">
        <w:t>:</w:t>
      </w:r>
    </w:p>
    <w:p w14:paraId="306C411B" w14:textId="548DB329" w:rsidR="008D49E4" w:rsidRPr="00CF49CD" w:rsidRDefault="008D49E4" w:rsidP="00CF49CD">
      <w:pPr>
        <w:pStyle w:val="ListParagraph"/>
        <w:numPr>
          <w:ilvl w:val="0"/>
          <w:numId w:val="38"/>
        </w:numPr>
      </w:pPr>
      <w:r w:rsidRPr="00CF49CD">
        <w:rPr>
          <w:rFonts w:ascii="Times New Roman" w:hAnsi="Times New Roman"/>
          <w:sz w:val="20"/>
          <w:szCs w:val="20"/>
        </w:rPr>
        <w:t xml:space="preserve">Configuring directly with </w:t>
      </w:r>
      <w:r w:rsidR="00467F8E">
        <w:rPr>
          <w:rFonts w:ascii="Times New Roman" w:hAnsi="Times New Roman"/>
          <w:sz w:val="20"/>
          <w:szCs w:val="20"/>
          <w:lang w:val="en-US"/>
        </w:rPr>
        <w:t>three</w:t>
      </w:r>
      <w:r w:rsidRPr="00CF49CD">
        <w:rPr>
          <w:rFonts w:ascii="Times New Roman" w:hAnsi="Times New Roman"/>
          <w:sz w:val="20"/>
          <w:szCs w:val="20"/>
        </w:rPr>
        <w:t xml:space="preserve"> modes of operation in one parameter as is presently specified via ul-FullPowerTransmission-r16 allows a more clear understanding of UL full power behaviour as compared to using two independent parameters.</w:t>
      </w:r>
    </w:p>
    <w:p w14:paraId="0FFD2A83" w14:textId="77777777" w:rsidR="008D49E4" w:rsidRPr="00CF49CD" w:rsidRDefault="008D49E4" w:rsidP="00CF49CD">
      <w:pPr>
        <w:pStyle w:val="ListParagraph"/>
        <w:numPr>
          <w:ilvl w:val="0"/>
          <w:numId w:val="38"/>
        </w:numPr>
      </w:pPr>
      <w:r w:rsidRPr="00CF49CD">
        <w:rPr>
          <w:rFonts w:ascii="Times New Roman" w:hAnsi="Times New Roman"/>
          <w:sz w:val="20"/>
          <w:szCs w:val="20"/>
        </w:rPr>
        <w:t>The present definition of ul-FullPowerTransmission-r16 is compliant with RAN2 guidance on UE ‘incapability’</w:t>
      </w:r>
    </w:p>
    <w:p w14:paraId="13EB52F4" w14:textId="5907EE09" w:rsidR="008D49E4" w:rsidRPr="00CF49CD" w:rsidRDefault="008D49E4" w:rsidP="008D49E4">
      <w:pPr>
        <w:pStyle w:val="ListParagraph"/>
        <w:numPr>
          <w:ilvl w:val="0"/>
          <w:numId w:val="38"/>
        </w:numPr>
        <w:rPr>
          <w:rFonts w:ascii="Times New Roman" w:hAnsi="Times New Roman"/>
          <w:sz w:val="20"/>
          <w:szCs w:val="20"/>
        </w:rPr>
      </w:pPr>
      <w:r w:rsidRPr="00CF49CD">
        <w:rPr>
          <w:rFonts w:ascii="Times New Roman" w:hAnsi="Times New Roman"/>
          <w:sz w:val="20"/>
          <w:szCs w:val="20"/>
        </w:rPr>
        <w:t xml:space="preserve">The use of </w:t>
      </w:r>
      <w:r w:rsidR="00467F8E">
        <w:rPr>
          <w:rFonts w:ascii="Times New Roman" w:hAnsi="Times New Roman"/>
          <w:sz w:val="20"/>
          <w:szCs w:val="20"/>
          <w:lang w:val="en-US"/>
        </w:rPr>
        <w:t>three</w:t>
      </w:r>
      <w:r w:rsidRPr="00CF49CD">
        <w:rPr>
          <w:rFonts w:ascii="Times New Roman" w:hAnsi="Times New Roman"/>
          <w:sz w:val="20"/>
          <w:szCs w:val="20"/>
        </w:rPr>
        <w:t xml:space="preserve"> modes as presently specified is consistent with draft UE capability</w:t>
      </w:r>
    </w:p>
    <w:p w14:paraId="1A288CBD" w14:textId="50CCF875" w:rsidR="008D49E4" w:rsidRDefault="008D49E4" w:rsidP="008D49E4"/>
    <w:p w14:paraId="45D59B33" w14:textId="77777777" w:rsidR="005D0294" w:rsidRPr="001E2C05" w:rsidRDefault="005D0294" w:rsidP="005D0294">
      <w:pPr>
        <w:pStyle w:val="Header"/>
        <w:rPr>
          <w:rFonts w:cs="Arial"/>
          <w:bCs/>
          <w:lang w:eastAsia="ko-KR"/>
        </w:rPr>
      </w:pPr>
      <w:r>
        <w:rPr>
          <w:rFonts w:cs="Arial"/>
          <w:b w:val="0"/>
          <w:bCs/>
          <w:highlight w:val="yellow"/>
          <w:lang w:eastAsia="ko-KR"/>
        </w:rPr>
        <w:t>Answer</w:t>
      </w:r>
      <w:r w:rsidRPr="001E2C05">
        <w:rPr>
          <w:rFonts w:cs="Arial"/>
          <w:b w:val="0"/>
          <w:bCs/>
          <w:highlight w:val="yellow"/>
          <w:lang w:eastAsia="ko-KR"/>
        </w:rPr>
        <w:t xml:space="preserve"> 1.</w:t>
      </w:r>
      <w:r>
        <w:rPr>
          <w:rFonts w:cs="Arial"/>
          <w:b w:val="0"/>
          <w:bCs/>
          <w:lang w:eastAsia="ko-KR"/>
        </w:rPr>
        <w:t xml:space="preserve"> </w:t>
      </w:r>
    </w:p>
    <w:p w14:paraId="62648881" w14:textId="202C46CA" w:rsidR="005D0294" w:rsidRPr="00CF49CD" w:rsidRDefault="005D0294" w:rsidP="008D49E4">
      <w:r w:rsidRPr="00CF49CD">
        <w:t xml:space="preserve">We see no issues with the agreement.  As discussed in more detail </w:t>
      </w:r>
      <w:r>
        <w:t>above</w:t>
      </w:r>
      <w:r w:rsidRPr="00CF49CD">
        <w:t>, we think it clarifies the configuration of full power operation and is compliant with RAN2 guidance on defining UE features.</w:t>
      </w:r>
    </w:p>
    <w:p w14:paraId="795525A4" w14:textId="7F254E35" w:rsidR="007F6C30" w:rsidRDefault="00D02893" w:rsidP="005D0294">
      <w:pPr>
        <w:pStyle w:val="Heading1"/>
        <w:ind w:left="0" w:firstLine="0"/>
      </w:pPr>
      <w:r>
        <w:t>2</w:t>
      </w:r>
      <w:r w:rsidR="0074188E">
        <w:tab/>
      </w:r>
      <w:r w:rsidR="00316EEE">
        <w:t xml:space="preserve">Question 2 </w:t>
      </w:r>
      <w:proofErr w:type="spellStart"/>
      <w:r w:rsidR="0074188E">
        <w:t>BDFactor</w:t>
      </w:r>
      <w:proofErr w:type="spellEnd"/>
    </w:p>
    <w:p w14:paraId="25028B21" w14:textId="6DA03193" w:rsidR="00316EEE" w:rsidRDefault="00316EEE" w:rsidP="00400909"/>
    <w:p w14:paraId="55B6579C" w14:textId="77777777" w:rsidR="00316EEE" w:rsidRDefault="00316EEE" w:rsidP="00CF49CD">
      <w:pPr>
        <w:pStyle w:val="Header"/>
        <w:rPr>
          <w:rFonts w:cs="Arial"/>
          <w:lang w:eastAsia="ko-KR"/>
        </w:rPr>
      </w:pPr>
      <w:r w:rsidRPr="0074188E">
        <w:rPr>
          <w:rFonts w:cs="Arial"/>
          <w:b w:val="0"/>
          <w:bCs/>
          <w:highlight w:val="yellow"/>
          <w:lang w:eastAsia="ko-KR"/>
        </w:rPr>
        <w:t>Question 2</w:t>
      </w:r>
      <w:r>
        <w:rPr>
          <w:rFonts w:cs="Arial"/>
          <w:b w:val="0"/>
          <w:bCs/>
          <w:lang w:eastAsia="ko-KR"/>
        </w:rPr>
        <w:t xml:space="preserve">. </w:t>
      </w:r>
      <w:r>
        <w:rPr>
          <w:rFonts w:cs="Arial"/>
          <w:lang w:eastAsia="ko-KR"/>
        </w:rPr>
        <w:t>RAN2 would like to ask RAN1 to inform RAN2 whether the parameter BDFactor should be per cell (e.g. within IE</w:t>
      </w:r>
      <w:r>
        <w:rPr>
          <w:rFonts w:cs="Arial"/>
          <w:i/>
          <w:iCs/>
          <w:lang w:eastAsia="ko-KR"/>
        </w:rPr>
        <w:t xml:space="preserve"> ServingCellConfig</w:t>
      </w:r>
      <w:r>
        <w:rPr>
          <w:rFonts w:cs="Arial"/>
          <w:lang w:eastAsia="ko-KR"/>
        </w:rPr>
        <w:t xml:space="preserve">) or per cell group (e.g. within IE </w:t>
      </w:r>
      <w:r>
        <w:rPr>
          <w:rFonts w:cs="Arial"/>
          <w:i/>
          <w:iCs/>
          <w:lang w:eastAsia="zh-CN"/>
        </w:rPr>
        <w:t>PhysicalCellGroupConfig</w:t>
      </w:r>
      <w:r>
        <w:rPr>
          <w:rFonts w:cs="Arial"/>
          <w:lang w:eastAsia="ko-KR"/>
        </w:rPr>
        <w:t>)?</w:t>
      </w:r>
    </w:p>
    <w:p w14:paraId="4F4BDBE1" w14:textId="77777777" w:rsidR="00316EEE" w:rsidRDefault="00316EEE" w:rsidP="00CF49CD">
      <w:pPr>
        <w:rPr>
          <w:rFonts w:ascii="Calibri" w:hAnsi="Calibri" w:cs="Calibri"/>
          <w:lang w:val="en-US" w:eastAsia="en-US"/>
        </w:rPr>
      </w:pPr>
    </w:p>
    <w:p w14:paraId="2C3F2945" w14:textId="2F9CF17C" w:rsidR="00316EEE" w:rsidRPr="00D02893" w:rsidRDefault="00721940" w:rsidP="00CF49CD">
      <w:pPr>
        <w:rPr>
          <w:color w:val="4472C4" w:themeColor="accent1"/>
        </w:rPr>
      </w:pPr>
      <w:r w:rsidRPr="00CF49CD">
        <w:rPr>
          <w:b/>
          <w:bCs/>
          <w:color w:val="4472C4" w:themeColor="accent1"/>
          <w:lang w:eastAsia="ko-KR"/>
        </w:rPr>
        <w:t>[</w:t>
      </w:r>
      <w:r w:rsidRPr="00CF49CD">
        <w:rPr>
          <w:b/>
          <w:bCs/>
          <w:color w:val="4472C4" w:themeColor="accent1"/>
        </w:rPr>
        <w:t>Ericsson explanation</w:t>
      </w:r>
      <w:r w:rsidRPr="00CF49CD">
        <w:rPr>
          <w:b/>
          <w:bCs/>
          <w:color w:val="4472C4" w:themeColor="accent1"/>
          <w:lang w:eastAsia="ko-KR"/>
        </w:rPr>
        <w:t>]</w:t>
      </w:r>
      <w:r w:rsidRPr="00721940">
        <w:rPr>
          <w:color w:val="4472C4" w:themeColor="accent1"/>
          <w:lang w:eastAsia="ko-KR"/>
        </w:rPr>
        <w:t xml:space="preserve">  </w:t>
      </w:r>
      <w:r w:rsidR="00316EEE" w:rsidRPr="00D02893">
        <w:rPr>
          <w:color w:val="4472C4" w:themeColor="accent1"/>
        </w:rPr>
        <w:t xml:space="preserve">According to 38.213, when </w:t>
      </w:r>
      <m:oMath>
        <m:nary>
          <m:naryPr>
            <m:chr m:val="∑"/>
            <m:ctrlPr>
              <w:rPr>
                <w:rFonts w:ascii="Cambria Math" w:eastAsiaTheme="minorHAnsi" w:hAnsi="Cambria Math" w:cs="Calibri"/>
                <w:i/>
                <w:iCs/>
                <w:color w:val="4472C4" w:themeColor="accent1"/>
                <w:sz w:val="22"/>
                <w:szCs w:val="22"/>
                <w:lang w:val="fi-FI"/>
              </w:rPr>
            </m:ctrlPr>
          </m:naryPr>
          <m:sub>
            <m:r>
              <w:rPr>
                <w:rFonts w:ascii="Cambria Math" w:hAnsi="Cambria Math"/>
                <w:color w:val="4472C4" w:themeColor="accent1"/>
              </w:rPr>
              <m:t>μ=0</m:t>
            </m:r>
          </m:sub>
          <m:sup>
            <m:r>
              <w:rPr>
                <w:rFonts w:ascii="Cambria Math" w:hAnsi="Cambria Math"/>
                <w:color w:val="4472C4" w:themeColor="accent1"/>
              </w:rPr>
              <m:t>3</m:t>
            </m:r>
          </m:sup>
          <m:e>
            <m:d>
              <m:dPr>
                <m:ctrlPr>
                  <w:rPr>
                    <w:rFonts w:ascii="Cambria Math" w:eastAsiaTheme="minorHAnsi" w:hAnsi="Cambria Math" w:cs="Calibri"/>
                    <w:i/>
                    <w:iCs/>
                    <w:color w:val="4472C4" w:themeColor="accent1"/>
                    <w:sz w:val="22"/>
                    <w:szCs w:val="22"/>
                    <w:lang w:val="fi-FI"/>
                  </w:rPr>
                </m:ctrlPr>
              </m:dPr>
              <m:e>
                <m:sSubSup>
                  <m:sSubSupPr>
                    <m:ctrlPr>
                      <w:rPr>
                        <w:rFonts w:ascii="Cambria Math" w:eastAsiaTheme="minorHAnsi" w:hAnsi="Cambria Math" w:cs="Calibri"/>
                        <w:i/>
                        <w:iCs/>
                        <w:color w:val="4472C4" w:themeColor="accent1"/>
                        <w:sz w:val="22"/>
                        <w:szCs w:val="22"/>
                        <w:lang w:val="fi-FI"/>
                      </w:rPr>
                    </m:ctrlPr>
                  </m:sSubSupPr>
                  <m:e>
                    <m:r>
                      <w:rPr>
                        <w:rFonts w:ascii="Cambria Math" w:hAnsi="Cambria Math"/>
                        <w:color w:val="4472C4" w:themeColor="accent1"/>
                      </w:rPr>
                      <m:t>N</m:t>
                    </m:r>
                  </m:e>
                  <m:sub>
                    <m:r>
                      <m:rPr>
                        <m:nor/>
                      </m:rPr>
                      <w:rPr>
                        <w:color w:val="4472C4" w:themeColor="accent1"/>
                      </w:rPr>
                      <m:t>cells,0</m:t>
                    </m:r>
                    <m:ctrlPr>
                      <w:rPr>
                        <w:rFonts w:ascii="Cambria Math" w:eastAsiaTheme="minorHAnsi" w:hAnsi="Cambria Math" w:cs="Calibri"/>
                        <w:color w:val="4472C4" w:themeColor="accent1"/>
                        <w:sz w:val="22"/>
                        <w:szCs w:val="22"/>
                        <w:lang w:val="fi-FI"/>
                      </w:rPr>
                    </m:ctrlPr>
                  </m:sub>
                  <m:sup>
                    <m:r>
                      <m:rPr>
                        <m:nor/>
                      </m:rPr>
                      <w:rPr>
                        <w:color w:val="4472C4" w:themeColor="accent1"/>
                      </w:rPr>
                      <m:t>DL,</m:t>
                    </m:r>
                    <m:r>
                      <w:rPr>
                        <w:rFonts w:ascii="Cambria Math" w:hAnsi="Cambria Math"/>
                        <w:color w:val="4472C4" w:themeColor="accent1"/>
                      </w:rPr>
                      <m:t>μ</m:t>
                    </m:r>
                    <m:ctrlPr>
                      <w:rPr>
                        <w:rFonts w:ascii="Cambria Math" w:eastAsiaTheme="minorHAnsi" w:hAnsi="Cambria Math" w:cs="Calibri"/>
                        <w:color w:val="4472C4" w:themeColor="accent1"/>
                        <w:sz w:val="22"/>
                        <w:szCs w:val="22"/>
                        <w:lang w:val="fi-FI"/>
                      </w:rPr>
                    </m:ctrlPr>
                  </m:sup>
                </m:sSubSup>
                <m:r>
                  <w:rPr>
                    <w:rFonts w:ascii="Cambria Math" w:hAnsi="Cambria Math"/>
                    <w:color w:val="4472C4" w:themeColor="accent1"/>
                  </w:rPr>
                  <m:t>+γ∙</m:t>
                </m:r>
                <m:sSubSup>
                  <m:sSubSupPr>
                    <m:ctrlPr>
                      <w:rPr>
                        <w:rFonts w:ascii="Cambria Math" w:eastAsiaTheme="minorHAnsi" w:hAnsi="Cambria Math" w:cs="Calibri"/>
                        <w:i/>
                        <w:iCs/>
                        <w:color w:val="4472C4" w:themeColor="accent1"/>
                        <w:sz w:val="22"/>
                        <w:szCs w:val="22"/>
                        <w:lang w:val="fi-FI"/>
                      </w:rPr>
                    </m:ctrlPr>
                  </m:sSubSupPr>
                  <m:e>
                    <m:r>
                      <w:rPr>
                        <w:rFonts w:ascii="Cambria Math" w:hAnsi="Cambria Math"/>
                        <w:color w:val="4472C4" w:themeColor="accent1"/>
                      </w:rPr>
                      <m:t>N</m:t>
                    </m:r>
                  </m:e>
                  <m:sub>
                    <m:r>
                      <m:rPr>
                        <m:nor/>
                      </m:rPr>
                      <w:rPr>
                        <w:color w:val="4472C4" w:themeColor="accent1"/>
                      </w:rPr>
                      <m:t>cells,1</m:t>
                    </m:r>
                    <m:ctrlPr>
                      <w:rPr>
                        <w:rFonts w:ascii="Cambria Math" w:eastAsiaTheme="minorHAnsi" w:hAnsi="Cambria Math" w:cs="Calibri"/>
                        <w:color w:val="4472C4" w:themeColor="accent1"/>
                        <w:sz w:val="22"/>
                        <w:szCs w:val="22"/>
                        <w:lang w:val="fi-FI"/>
                      </w:rPr>
                    </m:ctrlPr>
                  </m:sub>
                  <m:sup>
                    <m:r>
                      <m:rPr>
                        <m:nor/>
                      </m:rPr>
                      <w:rPr>
                        <w:color w:val="4472C4" w:themeColor="accent1"/>
                      </w:rPr>
                      <m:t>DL,</m:t>
                    </m:r>
                    <m:r>
                      <w:rPr>
                        <w:rFonts w:ascii="Cambria Math" w:hAnsi="Cambria Math"/>
                        <w:color w:val="4472C4" w:themeColor="accent1"/>
                      </w:rPr>
                      <m:t>μ</m:t>
                    </m:r>
                    <m:ctrlPr>
                      <w:rPr>
                        <w:rFonts w:ascii="Cambria Math" w:eastAsiaTheme="minorHAnsi" w:hAnsi="Cambria Math" w:cs="Calibri"/>
                        <w:color w:val="4472C4" w:themeColor="accent1"/>
                        <w:sz w:val="22"/>
                        <w:szCs w:val="22"/>
                        <w:lang w:val="fi-FI"/>
                      </w:rPr>
                    </m:ctrlPr>
                  </m:sup>
                </m:sSubSup>
              </m:e>
            </m:d>
          </m:e>
        </m:nary>
        <m:r>
          <w:rPr>
            <w:rFonts w:ascii="Cambria Math" w:hAnsi="Cambria Math"/>
            <w:color w:val="4472C4" w:themeColor="accent1"/>
          </w:rPr>
          <m:t>≤</m:t>
        </m:r>
        <m:sSubSup>
          <m:sSubSupPr>
            <m:ctrlPr>
              <w:rPr>
                <w:rFonts w:ascii="Cambria Math" w:eastAsiaTheme="minorHAnsi" w:hAnsi="Cambria Math" w:cs="Calibri"/>
                <w:i/>
                <w:iCs/>
                <w:color w:val="4472C4" w:themeColor="accent1"/>
                <w:sz w:val="22"/>
                <w:szCs w:val="22"/>
                <w:lang w:val="fi-FI"/>
              </w:rPr>
            </m:ctrlPr>
          </m:sSubSupPr>
          <m:e>
            <m:r>
              <w:rPr>
                <w:rFonts w:ascii="Cambria Math" w:hAnsi="Cambria Math"/>
                <w:color w:val="4472C4" w:themeColor="accent1"/>
              </w:rPr>
              <m:t>N</m:t>
            </m:r>
          </m:e>
          <m:sub>
            <m:r>
              <m:rPr>
                <m:nor/>
              </m:rPr>
              <w:rPr>
                <w:color w:val="4472C4" w:themeColor="accent1"/>
              </w:rPr>
              <m:t>cells</m:t>
            </m:r>
            <m:ctrlPr>
              <w:rPr>
                <w:rFonts w:ascii="Cambria Math" w:eastAsiaTheme="minorHAnsi" w:hAnsi="Cambria Math" w:cs="Calibri"/>
                <w:color w:val="4472C4" w:themeColor="accent1"/>
                <w:sz w:val="22"/>
                <w:szCs w:val="22"/>
                <w:lang w:val="fi-FI"/>
              </w:rPr>
            </m:ctrlPr>
          </m:sub>
          <m:sup>
            <m:r>
              <m:rPr>
                <m:nor/>
              </m:rPr>
              <w:rPr>
                <w:color w:val="4472C4" w:themeColor="accent1"/>
              </w:rPr>
              <m:t>cap</m:t>
            </m:r>
            <m:ctrlPr>
              <w:rPr>
                <w:rFonts w:ascii="Cambria Math" w:eastAsiaTheme="minorHAnsi" w:hAnsi="Cambria Math" w:cs="Calibri"/>
                <w:color w:val="4472C4" w:themeColor="accent1"/>
                <w:sz w:val="22"/>
                <w:szCs w:val="22"/>
                <w:lang w:val="fi-FI"/>
              </w:rPr>
            </m:ctrlPr>
          </m:sup>
        </m:sSubSup>
      </m:oMath>
      <w:r w:rsidR="00316EEE" w:rsidRPr="00D02893">
        <w:rPr>
          <w:color w:val="4472C4" w:themeColor="accent1"/>
        </w:rPr>
        <w:t>, the following conditions are captured:</w:t>
      </w:r>
    </w:p>
    <w:p w14:paraId="0E1F1070" w14:textId="77777777" w:rsidR="00316EEE" w:rsidRPr="00D02893" w:rsidRDefault="00316EEE" w:rsidP="00CF49CD">
      <w:pPr>
        <w:rPr>
          <w:color w:val="4472C4" w:themeColor="accent1"/>
        </w:rPr>
      </w:pPr>
    </w:p>
    <w:p w14:paraId="58C66065" w14:textId="77777777" w:rsidR="00316EEE" w:rsidRPr="00D02893" w:rsidRDefault="00316EEE" w:rsidP="00CF49CD">
      <w:pPr>
        <w:pStyle w:val="ListParagraph"/>
        <w:numPr>
          <w:ilvl w:val="0"/>
          <w:numId w:val="34"/>
        </w:numPr>
        <w:overflowPunct/>
        <w:autoSpaceDE/>
        <w:autoSpaceDN/>
        <w:adjustRightInd/>
        <w:spacing w:after="240"/>
        <w:textAlignment w:val="auto"/>
        <w:rPr>
          <w:color w:val="4472C4" w:themeColor="accent1"/>
          <w:sz w:val="20"/>
          <w:szCs w:val="20"/>
        </w:rPr>
      </w:pPr>
      <w:r w:rsidRPr="00D02893">
        <w:rPr>
          <w:color w:val="4472C4" w:themeColor="accent1"/>
          <w:sz w:val="20"/>
          <w:szCs w:val="20"/>
        </w:rPr>
        <w:t xml:space="preserve">the UE is not required to monitor </w:t>
      </w:r>
      <w:r w:rsidRPr="00D02893">
        <w:rPr>
          <w:color w:val="4472C4" w:themeColor="accent1"/>
          <w:sz w:val="20"/>
          <w:szCs w:val="20"/>
          <w:lang w:eastAsia="ko-KR"/>
        </w:rPr>
        <w:t xml:space="preserve">more than </w:t>
      </w:r>
      <m:oMath>
        <m:sSubSup>
          <m:sSubSupPr>
            <m:ctrlPr>
              <w:rPr>
                <w:rFonts w:ascii="Cambria Math" w:eastAsiaTheme="minorHAnsi" w:hAnsi="Cambria Math" w:cs="Calibri"/>
                <w:i/>
                <w:iCs/>
                <w:color w:val="4472C4" w:themeColor="accent1"/>
                <w:lang w:val="fi-FI"/>
              </w:rPr>
            </m:ctrlPr>
          </m:sSubSupPr>
          <m:e>
            <m:r>
              <w:rPr>
                <w:rFonts w:ascii="Cambria Math" w:hAnsi="Cambria Math"/>
                <w:color w:val="4472C4" w:themeColor="accent1"/>
                <w:sz w:val="20"/>
                <w:szCs w:val="20"/>
              </w:rPr>
              <m:t>M</m:t>
            </m:r>
          </m:e>
          <m:sub>
            <m:r>
              <m:rPr>
                <m:nor/>
              </m:rPr>
              <w:rPr>
                <w:color w:val="4472C4" w:themeColor="accent1"/>
                <w:sz w:val="20"/>
                <w:szCs w:val="20"/>
              </w:rPr>
              <m:t>PDCCH</m:t>
            </m:r>
            <m:ctrlPr>
              <w:rPr>
                <w:rFonts w:ascii="Cambria Math" w:eastAsiaTheme="minorHAnsi" w:hAnsi="Cambria Math" w:cs="Calibri"/>
                <w:color w:val="4472C4" w:themeColor="accent1"/>
                <w:lang w:val="fi-FI"/>
              </w:rPr>
            </m:ctrlPr>
          </m:sub>
          <m:sup>
            <w:proofErr w:type="spellStart"/>
            <m:r>
              <m:rPr>
                <m:nor/>
              </m:rPr>
              <w:rPr>
                <w:color w:val="4472C4" w:themeColor="accent1"/>
                <w:sz w:val="20"/>
                <w:szCs w:val="20"/>
              </w:rPr>
              <m:t>total,slot</m:t>
            </m:r>
            <w:proofErr w:type="spellEnd"/>
            <m:r>
              <m:rPr>
                <m:nor/>
              </m:rPr>
              <w:rPr>
                <w:color w:val="4472C4" w:themeColor="accent1"/>
                <w:sz w:val="20"/>
                <w:szCs w:val="20"/>
              </w:rPr>
              <m:t>,</m:t>
            </m:r>
            <m:r>
              <w:rPr>
                <w:rFonts w:ascii="Cambria Math" w:hAnsi="Cambria Math"/>
                <w:color w:val="4472C4" w:themeColor="accent1"/>
                <w:sz w:val="20"/>
                <w:szCs w:val="20"/>
              </w:rPr>
              <m:t>μ</m:t>
            </m:r>
            <m:ctrlPr>
              <w:rPr>
                <w:rFonts w:ascii="Cambria Math" w:eastAsiaTheme="minorHAnsi" w:hAnsi="Cambria Math" w:cs="Calibri"/>
                <w:color w:val="4472C4" w:themeColor="accent1"/>
                <w:lang w:val="fi-FI"/>
              </w:rPr>
            </m:ctrlPr>
          </m:sup>
        </m:sSubSup>
        <m:r>
          <w:rPr>
            <w:rFonts w:ascii="Cambria Math" w:hAnsi="Cambria Math"/>
            <w:color w:val="4472C4" w:themeColor="accent1"/>
            <w:sz w:val="20"/>
            <w:szCs w:val="20"/>
          </w:rPr>
          <m:t>=γ∙</m:t>
        </m:r>
        <m:sSubSup>
          <m:sSubSupPr>
            <m:ctrlPr>
              <w:rPr>
                <w:rFonts w:ascii="Cambria Math" w:eastAsiaTheme="minorHAnsi" w:hAnsi="Cambria Math" w:cs="Calibri"/>
                <w:i/>
                <w:iCs/>
                <w:color w:val="4472C4" w:themeColor="accent1"/>
                <w:lang w:val="fi-FI"/>
              </w:rPr>
            </m:ctrlPr>
          </m:sSubSupPr>
          <m:e>
            <m:r>
              <w:rPr>
                <w:rFonts w:ascii="Cambria Math" w:hAnsi="Cambria Math"/>
                <w:color w:val="4472C4" w:themeColor="accent1"/>
                <w:sz w:val="20"/>
                <w:szCs w:val="20"/>
              </w:rPr>
              <m:t>M</m:t>
            </m:r>
          </m:e>
          <m:sub>
            <m:r>
              <m:rPr>
                <m:nor/>
              </m:rPr>
              <w:rPr>
                <w:color w:val="4472C4" w:themeColor="accent1"/>
                <w:sz w:val="20"/>
                <w:szCs w:val="20"/>
              </w:rPr>
              <m:t>PDCCH</m:t>
            </m:r>
            <m:ctrlPr>
              <w:rPr>
                <w:rFonts w:ascii="Cambria Math" w:eastAsiaTheme="minorHAnsi" w:hAnsi="Cambria Math" w:cs="Calibri"/>
                <w:color w:val="4472C4" w:themeColor="accent1"/>
                <w:lang w:val="fi-FI"/>
              </w:rPr>
            </m:ctrlPr>
          </m:sub>
          <m:sup>
            <w:proofErr w:type="spellStart"/>
            <m:r>
              <m:rPr>
                <m:nor/>
              </m:rPr>
              <w:rPr>
                <w:color w:val="4472C4" w:themeColor="accent1"/>
                <w:sz w:val="20"/>
                <w:szCs w:val="20"/>
              </w:rPr>
              <m:t>max,slot</m:t>
            </m:r>
            <w:proofErr w:type="spellEnd"/>
            <m:r>
              <m:rPr>
                <m:nor/>
              </m:rPr>
              <w:rPr>
                <w:color w:val="4472C4" w:themeColor="accent1"/>
                <w:sz w:val="20"/>
                <w:szCs w:val="20"/>
              </w:rPr>
              <m:t>,</m:t>
            </m:r>
            <m:r>
              <w:rPr>
                <w:rFonts w:ascii="Cambria Math" w:hAnsi="Cambria Math"/>
                <w:color w:val="4472C4" w:themeColor="accent1"/>
                <w:sz w:val="20"/>
                <w:szCs w:val="20"/>
              </w:rPr>
              <m:t>μ</m:t>
            </m:r>
            <m:ctrlPr>
              <w:rPr>
                <w:rFonts w:ascii="Cambria Math" w:eastAsiaTheme="minorHAnsi" w:hAnsi="Cambria Math" w:cs="Calibri"/>
                <w:color w:val="4472C4" w:themeColor="accent1"/>
                <w:lang w:val="fi-FI"/>
              </w:rPr>
            </m:ctrlPr>
          </m:sup>
        </m:sSubSup>
      </m:oMath>
      <w:r w:rsidRPr="00D02893">
        <w:rPr>
          <w:color w:val="4472C4" w:themeColor="accent1"/>
          <w:sz w:val="20"/>
          <w:szCs w:val="20"/>
        </w:rPr>
        <w:t xml:space="preserve"> PDCCH candidates or more than </w:t>
      </w:r>
      <m:oMath>
        <m:sSubSup>
          <m:sSubSupPr>
            <m:ctrlPr>
              <w:rPr>
                <w:rFonts w:ascii="Cambria Math" w:eastAsiaTheme="minorHAnsi" w:hAnsi="Cambria Math" w:cs="Calibri"/>
                <w:i/>
                <w:iCs/>
                <w:color w:val="4472C4" w:themeColor="accent1"/>
                <w:lang w:val="fi-FI"/>
              </w:rPr>
            </m:ctrlPr>
          </m:sSubSupPr>
          <m:e>
            <m:r>
              <w:rPr>
                <w:rFonts w:ascii="Cambria Math" w:hAnsi="Cambria Math"/>
                <w:color w:val="4472C4" w:themeColor="accent1"/>
                <w:sz w:val="20"/>
                <w:szCs w:val="20"/>
              </w:rPr>
              <m:t>C</m:t>
            </m:r>
          </m:e>
          <m:sub>
            <m:r>
              <m:rPr>
                <m:nor/>
              </m:rPr>
              <w:rPr>
                <w:color w:val="4472C4" w:themeColor="accent1"/>
                <w:sz w:val="20"/>
                <w:szCs w:val="20"/>
              </w:rPr>
              <m:t>PDCCH</m:t>
            </m:r>
            <m:ctrlPr>
              <w:rPr>
                <w:rFonts w:ascii="Cambria Math" w:eastAsiaTheme="minorHAnsi" w:hAnsi="Cambria Math" w:cs="Calibri"/>
                <w:color w:val="4472C4" w:themeColor="accent1"/>
                <w:lang w:val="fi-FI"/>
              </w:rPr>
            </m:ctrlPr>
          </m:sub>
          <m:sup>
            <w:proofErr w:type="spellStart"/>
            <m:r>
              <m:rPr>
                <m:nor/>
              </m:rPr>
              <w:rPr>
                <w:color w:val="4472C4" w:themeColor="accent1"/>
                <w:sz w:val="20"/>
                <w:szCs w:val="20"/>
              </w:rPr>
              <m:t>total,slot</m:t>
            </m:r>
            <w:proofErr w:type="spellEnd"/>
            <m:r>
              <m:rPr>
                <m:nor/>
              </m:rPr>
              <w:rPr>
                <w:color w:val="4472C4" w:themeColor="accent1"/>
                <w:sz w:val="20"/>
                <w:szCs w:val="20"/>
              </w:rPr>
              <m:t>,</m:t>
            </m:r>
            <m:r>
              <w:rPr>
                <w:rFonts w:ascii="Cambria Math" w:hAnsi="Cambria Math"/>
                <w:color w:val="4472C4" w:themeColor="accent1"/>
                <w:sz w:val="20"/>
                <w:szCs w:val="20"/>
              </w:rPr>
              <m:t>μ</m:t>
            </m:r>
            <m:ctrlPr>
              <w:rPr>
                <w:rFonts w:ascii="Cambria Math" w:eastAsiaTheme="minorHAnsi" w:hAnsi="Cambria Math" w:cs="Calibri"/>
                <w:color w:val="4472C4" w:themeColor="accent1"/>
                <w:lang w:val="fi-FI"/>
              </w:rPr>
            </m:ctrlPr>
          </m:sup>
        </m:sSubSup>
        <m:r>
          <w:rPr>
            <w:rFonts w:ascii="Cambria Math" w:hAnsi="Cambria Math"/>
            <w:color w:val="4472C4" w:themeColor="accent1"/>
            <w:sz w:val="20"/>
            <w:szCs w:val="20"/>
          </w:rPr>
          <m:t>=γ∙</m:t>
        </m:r>
        <m:sSubSup>
          <m:sSubSupPr>
            <m:ctrlPr>
              <w:rPr>
                <w:rFonts w:ascii="Cambria Math" w:eastAsiaTheme="minorHAnsi" w:hAnsi="Cambria Math" w:cs="Calibri"/>
                <w:i/>
                <w:iCs/>
                <w:color w:val="4472C4" w:themeColor="accent1"/>
                <w:lang w:val="fi-FI"/>
              </w:rPr>
            </m:ctrlPr>
          </m:sSubSupPr>
          <m:e>
            <m:r>
              <w:rPr>
                <w:rFonts w:ascii="Cambria Math" w:hAnsi="Cambria Math"/>
                <w:color w:val="4472C4" w:themeColor="accent1"/>
                <w:sz w:val="20"/>
                <w:szCs w:val="20"/>
              </w:rPr>
              <m:t>C</m:t>
            </m:r>
          </m:e>
          <m:sub>
            <m:r>
              <m:rPr>
                <m:nor/>
              </m:rPr>
              <w:rPr>
                <w:color w:val="4472C4" w:themeColor="accent1"/>
                <w:sz w:val="20"/>
                <w:szCs w:val="20"/>
              </w:rPr>
              <m:t>PDCCH</m:t>
            </m:r>
            <m:ctrlPr>
              <w:rPr>
                <w:rFonts w:ascii="Cambria Math" w:eastAsiaTheme="minorHAnsi" w:hAnsi="Cambria Math" w:cs="Calibri"/>
                <w:color w:val="4472C4" w:themeColor="accent1"/>
                <w:lang w:val="fi-FI"/>
              </w:rPr>
            </m:ctrlPr>
          </m:sub>
          <m:sup>
            <w:proofErr w:type="spellStart"/>
            <m:r>
              <m:rPr>
                <m:nor/>
              </m:rPr>
              <w:rPr>
                <w:color w:val="4472C4" w:themeColor="accent1"/>
                <w:sz w:val="20"/>
                <w:szCs w:val="20"/>
              </w:rPr>
              <m:t>max,slot</m:t>
            </m:r>
            <w:proofErr w:type="spellEnd"/>
            <m:r>
              <m:rPr>
                <m:nor/>
              </m:rPr>
              <w:rPr>
                <w:color w:val="4472C4" w:themeColor="accent1"/>
                <w:sz w:val="20"/>
                <w:szCs w:val="20"/>
              </w:rPr>
              <m:t>,</m:t>
            </m:r>
            <m:r>
              <w:rPr>
                <w:rFonts w:ascii="Cambria Math" w:hAnsi="Cambria Math"/>
                <w:color w:val="4472C4" w:themeColor="accent1"/>
                <w:sz w:val="20"/>
                <w:szCs w:val="20"/>
              </w:rPr>
              <m:t>μ</m:t>
            </m:r>
            <m:ctrlPr>
              <w:rPr>
                <w:rFonts w:ascii="Cambria Math" w:eastAsiaTheme="minorHAnsi" w:hAnsi="Cambria Math" w:cs="Calibri"/>
                <w:color w:val="4472C4" w:themeColor="accent1"/>
                <w:lang w:val="fi-FI"/>
              </w:rPr>
            </m:ctrlPr>
          </m:sup>
        </m:sSubSup>
      </m:oMath>
      <w:r w:rsidRPr="00D02893">
        <w:rPr>
          <w:color w:val="4472C4" w:themeColor="accent1"/>
          <w:sz w:val="20"/>
          <w:szCs w:val="20"/>
        </w:rPr>
        <w:t xml:space="preserve"> non-overlapped CCEs per slot for each scheduled cell when the scheduling cell is from the </w:t>
      </w:r>
      <m:oMath>
        <m:sSubSup>
          <m:sSubSupPr>
            <m:ctrlPr>
              <w:rPr>
                <w:rFonts w:ascii="Cambria Math" w:eastAsiaTheme="minorHAnsi" w:hAnsi="Cambria Math" w:cs="Calibri"/>
                <w:i/>
                <w:iCs/>
                <w:color w:val="4472C4" w:themeColor="accent1"/>
                <w:lang w:val="fi-FI"/>
              </w:rPr>
            </m:ctrlPr>
          </m:sSubSupPr>
          <m:e>
            <m:r>
              <w:rPr>
                <w:rFonts w:ascii="Cambria Math" w:hAnsi="Cambria Math"/>
                <w:color w:val="4472C4" w:themeColor="accent1"/>
                <w:sz w:val="20"/>
                <w:szCs w:val="20"/>
              </w:rPr>
              <m:t>N</m:t>
            </m:r>
          </m:e>
          <m:sub>
            <m:r>
              <m:rPr>
                <m:nor/>
              </m:rPr>
              <w:rPr>
                <w:color w:val="4472C4" w:themeColor="accent1"/>
                <w:sz w:val="20"/>
                <w:szCs w:val="20"/>
              </w:rPr>
              <m:t>cells,1</m:t>
            </m:r>
            <m:ctrlPr>
              <w:rPr>
                <w:rFonts w:ascii="Cambria Math" w:eastAsiaTheme="minorHAnsi" w:hAnsi="Cambria Math" w:cs="Calibri"/>
                <w:color w:val="4472C4" w:themeColor="accent1"/>
                <w:lang w:val="fi-FI"/>
              </w:rPr>
            </m:ctrlPr>
          </m:sub>
          <m:sup>
            <m:r>
              <m:rPr>
                <m:nor/>
              </m:rPr>
              <w:rPr>
                <w:color w:val="4472C4" w:themeColor="accent1"/>
                <w:sz w:val="20"/>
                <w:szCs w:val="20"/>
              </w:rPr>
              <m:t>DL,</m:t>
            </m:r>
            <m:r>
              <w:rPr>
                <w:rFonts w:ascii="Cambria Math" w:hAnsi="Cambria Math"/>
                <w:color w:val="4472C4" w:themeColor="accent1"/>
                <w:sz w:val="20"/>
                <w:szCs w:val="20"/>
              </w:rPr>
              <m:t>μ</m:t>
            </m:r>
            <m:ctrlPr>
              <w:rPr>
                <w:rFonts w:ascii="Cambria Math" w:eastAsiaTheme="minorHAnsi" w:hAnsi="Cambria Math" w:cs="Calibri"/>
                <w:color w:val="4472C4" w:themeColor="accent1"/>
                <w:lang w:val="fi-FI"/>
              </w:rPr>
            </m:ctrlPr>
          </m:sup>
        </m:sSubSup>
      </m:oMath>
      <w:r w:rsidRPr="00D02893">
        <w:rPr>
          <w:color w:val="4472C4" w:themeColor="accent1"/>
          <w:sz w:val="20"/>
          <w:szCs w:val="20"/>
        </w:rPr>
        <w:t xml:space="preserve"> downlink cells </w:t>
      </w:r>
    </w:p>
    <w:p w14:paraId="4D6CD603" w14:textId="77777777" w:rsidR="00316EEE" w:rsidRPr="00D02893" w:rsidRDefault="00316EEE" w:rsidP="00CF49CD">
      <w:pPr>
        <w:pStyle w:val="ListParagraph"/>
        <w:numPr>
          <w:ilvl w:val="0"/>
          <w:numId w:val="34"/>
        </w:numPr>
        <w:overflowPunct/>
        <w:autoSpaceDE/>
        <w:autoSpaceDN/>
        <w:adjustRightInd/>
        <w:spacing w:after="240"/>
        <w:textAlignment w:val="auto"/>
        <w:rPr>
          <w:color w:val="4472C4" w:themeColor="accent1"/>
          <w:sz w:val="20"/>
          <w:szCs w:val="20"/>
        </w:rPr>
      </w:pPr>
      <w:r w:rsidRPr="00D02893">
        <w:rPr>
          <w:color w:val="4472C4" w:themeColor="accent1"/>
          <w:sz w:val="20"/>
          <w:szCs w:val="20"/>
          <w:lang w:eastAsia="ko-KR"/>
        </w:rPr>
        <w:lastRenderedPageBreak/>
        <w:t xml:space="preserve">the UE is not required to monitor more than </w:t>
      </w:r>
      <w:bookmarkStart w:id="0" w:name="_Hlk530114396"/>
      <m:oMath>
        <m:sSubSup>
          <m:sSubSupPr>
            <m:ctrlPr>
              <w:rPr>
                <w:rFonts w:ascii="Cambria Math" w:eastAsiaTheme="minorHAnsi" w:hAnsi="Cambria Math" w:cs="Calibri"/>
                <w:i/>
                <w:iCs/>
                <w:color w:val="4472C4" w:themeColor="accent1"/>
                <w:lang w:val="fi-FI"/>
              </w:rPr>
            </m:ctrlPr>
          </m:sSubSupPr>
          <m:e>
            <m:r>
              <w:rPr>
                <w:rFonts w:ascii="Cambria Math" w:hAnsi="Cambria Math"/>
                <w:color w:val="4472C4" w:themeColor="accent1"/>
                <w:sz w:val="20"/>
                <w:szCs w:val="20"/>
              </w:rPr>
              <m:t>M</m:t>
            </m:r>
          </m:e>
          <m:sub>
            <m:r>
              <m:rPr>
                <m:nor/>
              </m:rPr>
              <w:rPr>
                <w:color w:val="4472C4" w:themeColor="accent1"/>
                <w:sz w:val="20"/>
                <w:szCs w:val="20"/>
              </w:rPr>
              <m:t>PDCCH</m:t>
            </m:r>
            <m:ctrlPr>
              <w:rPr>
                <w:rFonts w:ascii="Cambria Math" w:eastAsiaTheme="minorHAnsi" w:hAnsi="Cambria Math" w:cs="Calibri"/>
                <w:color w:val="4472C4" w:themeColor="accent1"/>
                <w:lang w:val="fi-FI"/>
              </w:rPr>
            </m:ctrlPr>
          </m:sub>
          <m:sup>
            <w:proofErr w:type="spellStart"/>
            <m:r>
              <m:rPr>
                <m:nor/>
              </m:rPr>
              <w:rPr>
                <w:color w:val="4472C4" w:themeColor="accent1"/>
                <w:sz w:val="20"/>
                <w:szCs w:val="20"/>
              </w:rPr>
              <m:t>total,slot</m:t>
            </m:r>
            <w:proofErr w:type="spellEnd"/>
            <m:r>
              <m:rPr>
                <m:nor/>
              </m:rPr>
              <w:rPr>
                <w:color w:val="4472C4" w:themeColor="accent1"/>
                <w:sz w:val="20"/>
                <w:szCs w:val="20"/>
              </w:rPr>
              <m:t>,</m:t>
            </m:r>
            <m:r>
              <w:rPr>
                <w:rFonts w:ascii="Cambria Math" w:hAnsi="Cambria Math"/>
                <w:color w:val="4472C4" w:themeColor="accent1"/>
                <w:sz w:val="20"/>
                <w:szCs w:val="20"/>
              </w:rPr>
              <m:t>μ</m:t>
            </m:r>
            <m:ctrlPr>
              <w:rPr>
                <w:rFonts w:ascii="Cambria Math" w:eastAsiaTheme="minorHAnsi" w:hAnsi="Cambria Math" w:cs="Calibri"/>
                <w:color w:val="4472C4" w:themeColor="accent1"/>
                <w:lang w:val="fi-FI"/>
              </w:rPr>
            </m:ctrlPr>
          </m:sup>
        </m:sSubSup>
        <m:r>
          <w:rPr>
            <w:rFonts w:ascii="Cambria Math" w:hAnsi="Cambria Math"/>
            <w:color w:val="4472C4" w:themeColor="accent1"/>
            <w:sz w:val="20"/>
            <w:szCs w:val="20"/>
          </w:rPr>
          <m:t>=</m:t>
        </m:r>
        <m:d>
          <m:dPr>
            <m:begChr m:val="⌊"/>
            <m:endChr m:val="⌋"/>
            <m:ctrlPr>
              <w:rPr>
                <w:rFonts w:ascii="Cambria Math" w:eastAsiaTheme="minorHAnsi" w:hAnsi="Cambria Math" w:cs="Calibri"/>
                <w:i/>
                <w:iCs/>
                <w:color w:val="4472C4" w:themeColor="accent1"/>
                <w:lang w:val="fi-FI"/>
              </w:rPr>
            </m:ctrlPr>
          </m:dPr>
          <m:e>
            <m:sSubSup>
              <m:sSubSupPr>
                <m:ctrlPr>
                  <w:rPr>
                    <w:rFonts w:ascii="Cambria Math" w:eastAsiaTheme="minorHAnsi" w:hAnsi="Cambria Math" w:cs="Calibri"/>
                    <w:i/>
                    <w:iCs/>
                    <w:color w:val="4472C4" w:themeColor="accent1"/>
                    <w:lang w:val="fi-FI"/>
                  </w:rPr>
                </m:ctrlPr>
              </m:sSubSupPr>
              <m:e>
                <m:r>
                  <w:rPr>
                    <w:rFonts w:ascii="Cambria Math" w:hAnsi="Cambria Math"/>
                    <w:color w:val="4472C4" w:themeColor="accent1"/>
                    <w:sz w:val="20"/>
                    <w:szCs w:val="20"/>
                  </w:rPr>
                  <m:t>N</m:t>
                </m:r>
              </m:e>
              <m:sub>
                <m:r>
                  <m:rPr>
                    <m:nor/>
                  </m:rPr>
                  <w:rPr>
                    <w:color w:val="4472C4" w:themeColor="accent1"/>
                    <w:sz w:val="20"/>
                    <w:szCs w:val="20"/>
                  </w:rPr>
                  <m:t>cells</m:t>
                </m:r>
                <m:ctrlPr>
                  <w:rPr>
                    <w:rFonts w:ascii="Cambria Math" w:eastAsiaTheme="minorHAnsi" w:hAnsi="Cambria Math" w:cs="Calibri"/>
                    <w:color w:val="4472C4" w:themeColor="accent1"/>
                    <w:lang w:val="fi-FI"/>
                  </w:rPr>
                </m:ctrlPr>
              </m:sub>
              <m:sup>
                <m:r>
                  <m:rPr>
                    <m:nor/>
                  </m:rPr>
                  <w:rPr>
                    <w:color w:val="4472C4" w:themeColor="accent1"/>
                    <w:sz w:val="20"/>
                    <w:szCs w:val="20"/>
                  </w:rPr>
                  <m:t>cap</m:t>
                </m:r>
                <m:ctrlPr>
                  <w:rPr>
                    <w:rFonts w:ascii="Cambria Math" w:eastAsiaTheme="minorHAnsi" w:hAnsi="Cambria Math" w:cs="Calibri"/>
                    <w:color w:val="4472C4" w:themeColor="accent1"/>
                    <w:lang w:val="fi-FI"/>
                  </w:rPr>
                </m:ctrlPr>
              </m:sup>
            </m:sSubSup>
            <m:r>
              <w:rPr>
                <w:rFonts w:ascii="Cambria Math" w:hAnsi="Cambria Math"/>
                <w:color w:val="4472C4" w:themeColor="accent1"/>
                <w:sz w:val="20"/>
                <w:szCs w:val="20"/>
              </w:rPr>
              <m:t>⋅</m:t>
            </m:r>
            <m:sSubSup>
              <m:sSubSupPr>
                <m:ctrlPr>
                  <w:rPr>
                    <w:rFonts w:ascii="Cambria Math" w:eastAsiaTheme="minorHAnsi" w:hAnsi="Cambria Math" w:cs="Calibri"/>
                    <w:i/>
                    <w:iCs/>
                    <w:color w:val="4472C4" w:themeColor="accent1"/>
                    <w:lang w:val="fi-FI"/>
                  </w:rPr>
                </m:ctrlPr>
              </m:sSubSupPr>
              <m:e>
                <m:r>
                  <w:rPr>
                    <w:rFonts w:ascii="Cambria Math" w:hAnsi="Cambria Math"/>
                    <w:color w:val="4472C4" w:themeColor="accent1"/>
                    <w:sz w:val="20"/>
                    <w:szCs w:val="20"/>
                  </w:rPr>
                  <m:t>M</m:t>
                </m:r>
              </m:e>
              <m:sub>
                <m:r>
                  <m:rPr>
                    <m:nor/>
                  </m:rPr>
                  <w:rPr>
                    <w:color w:val="4472C4" w:themeColor="accent1"/>
                    <w:sz w:val="20"/>
                    <w:szCs w:val="20"/>
                  </w:rPr>
                  <m:t>PDCCH</m:t>
                </m:r>
                <m:ctrlPr>
                  <w:rPr>
                    <w:rFonts w:ascii="Cambria Math" w:eastAsiaTheme="minorHAnsi" w:hAnsi="Cambria Math" w:cs="Calibri"/>
                    <w:color w:val="4472C4" w:themeColor="accent1"/>
                    <w:lang w:val="fi-FI"/>
                  </w:rPr>
                </m:ctrlPr>
              </m:sub>
              <m:sup>
                <w:proofErr w:type="spellStart"/>
                <m:r>
                  <m:rPr>
                    <m:nor/>
                  </m:rPr>
                  <w:rPr>
                    <w:color w:val="4472C4" w:themeColor="accent1"/>
                    <w:sz w:val="20"/>
                    <w:szCs w:val="20"/>
                  </w:rPr>
                  <m:t>max,slot</m:t>
                </m:r>
                <w:proofErr w:type="spellEnd"/>
                <m:r>
                  <m:rPr>
                    <m:nor/>
                  </m:rPr>
                  <w:rPr>
                    <w:color w:val="4472C4" w:themeColor="accent1"/>
                    <w:sz w:val="20"/>
                    <w:szCs w:val="20"/>
                  </w:rPr>
                  <m:t>,</m:t>
                </m:r>
                <m:r>
                  <w:rPr>
                    <w:rFonts w:ascii="Cambria Math" w:hAnsi="Cambria Math"/>
                    <w:color w:val="4472C4" w:themeColor="accent1"/>
                    <w:sz w:val="20"/>
                    <w:szCs w:val="20"/>
                  </w:rPr>
                  <m:t>μ</m:t>
                </m:r>
                <m:ctrlPr>
                  <w:rPr>
                    <w:rFonts w:ascii="Cambria Math" w:eastAsiaTheme="minorHAnsi" w:hAnsi="Cambria Math" w:cs="Calibri"/>
                    <w:color w:val="4472C4" w:themeColor="accent1"/>
                    <w:lang w:val="fi-FI"/>
                  </w:rPr>
                </m:ctrlPr>
              </m:sup>
            </m:sSubSup>
            <m:r>
              <w:rPr>
                <w:rFonts w:ascii="Cambria Math" w:hAnsi="Cambria Math"/>
                <w:color w:val="4472C4" w:themeColor="accent1"/>
                <w:sz w:val="20"/>
                <w:szCs w:val="20"/>
              </w:rPr>
              <m:t>⋅</m:t>
            </m:r>
            <m:f>
              <m:fPr>
                <m:type m:val="lin"/>
                <m:ctrlPr>
                  <w:rPr>
                    <w:rFonts w:ascii="Cambria Math" w:eastAsiaTheme="minorHAnsi" w:hAnsi="Cambria Math" w:cs="Calibri"/>
                    <w:i/>
                    <w:iCs/>
                    <w:color w:val="4472C4" w:themeColor="accent1"/>
                    <w:lang w:val="fi-FI"/>
                  </w:rPr>
                </m:ctrlPr>
              </m:fPr>
              <m:num>
                <m:d>
                  <m:dPr>
                    <m:ctrlPr>
                      <w:rPr>
                        <w:rFonts w:ascii="Cambria Math" w:eastAsiaTheme="minorHAnsi" w:hAnsi="Cambria Math" w:cs="Calibri"/>
                        <w:i/>
                        <w:iCs/>
                        <w:color w:val="4472C4" w:themeColor="accent1"/>
                        <w:lang w:val="fi-FI"/>
                      </w:rPr>
                    </m:ctrlPr>
                  </m:dPr>
                  <m:e>
                    <m:sSubSup>
                      <m:sSubSupPr>
                        <m:ctrlPr>
                          <w:rPr>
                            <w:rFonts w:ascii="Cambria Math" w:eastAsiaTheme="minorHAnsi" w:hAnsi="Cambria Math" w:cs="Calibri"/>
                            <w:i/>
                            <w:iCs/>
                            <w:color w:val="4472C4" w:themeColor="accent1"/>
                            <w:lang w:val="fi-FI"/>
                          </w:rPr>
                        </m:ctrlPr>
                      </m:sSubSupPr>
                      <m:e>
                        <m:r>
                          <w:rPr>
                            <w:rFonts w:ascii="Cambria Math" w:hAnsi="Cambria Math"/>
                            <w:color w:val="4472C4" w:themeColor="accent1"/>
                            <w:sz w:val="20"/>
                            <w:szCs w:val="20"/>
                          </w:rPr>
                          <m:t>N</m:t>
                        </m:r>
                      </m:e>
                      <m:sub>
                        <m:r>
                          <m:rPr>
                            <m:nor/>
                          </m:rPr>
                          <w:rPr>
                            <w:color w:val="4472C4" w:themeColor="accent1"/>
                            <w:sz w:val="20"/>
                            <w:szCs w:val="20"/>
                          </w:rPr>
                          <m:t>cells,0</m:t>
                        </m:r>
                        <m:ctrlPr>
                          <w:rPr>
                            <w:rFonts w:ascii="Cambria Math" w:eastAsiaTheme="minorHAnsi" w:hAnsi="Cambria Math" w:cs="Calibri"/>
                            <w:color w:val="4472C4" w:themeColor="accent1"/>
                            <w:lang w:val="fi-FI"/>
                          </w:rPr>
                        </m:ctrlPr>
                      </m:sub>
                      <m:sup>
                        <m:r>
                          <m:rPr>
                            <m:nor/>
                          </m:rPr>
                          <w:rPr>
                            <w:color w:val="4472C4" w:themeColor="accent1"/>
                            <w:sz w:val="20"/>
                            <w:szCs w:val="20"/>
                          </w:rPr>
                          <m:t>DL,</m:t>
                        </m:r>
                        <m:r>
                          <w:rPr>
                            <w:rFonts w:ascii="Cambria Math" w:hAnsi="Cambria Math"/>
                            <w:color w:val="4472C4" w:themeColor="accent1"/>
                            <w:sz w:val="20"/>
                            <w:szCs w:val="20"/>
                          </w:rPr>
                          <m:t>μ</m:t>
                        </m:r>
                        <m:ctrlPr>
                          <w:rPr>
                            <w:rFonts w:ascii="Cambria Math" w:eastAsiaTheme="minorHAnsi" w:hAnsi="Cambria Math" w:cs="Calibri"/>
                            <w:color w:val="4472C4" w:themeColor="accent1"/>
                            <w:lang w:val="fi-FI"/>
                          </w:rPr>
                        </m:ctrlPr>
                      </m:sup>
                    </m:sSubSup>
                    <m:r>
                      <w:rPr>
                        <w:rFonts w:ascii="Cambria Math" w:hAnsi="Cambria Math"/>
                        <w:color w:val="4472C4" w:themeColor="accent1"/>
                        <w:sz w:val="20"/>
                        <w:szCs w:val="20"/>
                      </w:rPr>
                      <m:t>+γ∙</m:t>
                    </m:r>
                    <m:sSubSup>
                      <m:sSubSupPr>
                        <m:ctrlPr>
                          <w:rPr>
                            <w:rFonts w:ascii="Cambria Math" w:eastAsiaTheme="minorHAnsi" w:hAnsi="Cambria Math" w:cs="Calibri"/>
                            <w:i/>
                            <w:iCs/>
                            <w:color w:val="4472C4" w:themeColor="accent1"/>
                            <w:lang w:val="fi-FI"/>
                          </w:rPr>
                        </m:ctrlPr>
                      </m:sSubSupPr>
                      <m:e>
                        <m:r>
                          <w:rPr>
                            <w:rFonts w:ascii="Cambria Math" w:hAnsi="Cambria Math"/>
                            <w:color w:val="4472C4" w:themeColor="accent1"/>
                            <w:sz w:val="20"/>
                            <w:szCs w:val="20"/>
                          </w:rPr>
                          <m:t>N</m:t>
                        </m:r>
                      </m:e>
                      <m:sub>
                        <m:r>
                          <m:rPr>
                            <m:nor/>
                          </m:rPr>
                          <w:rPr>
                            <w:color w:val="4472C4" w:themeColor="accent1"/>
                            <w:sz w:val="20"/>
                            <w:szCs w:val="20"/>
                          </w:rPr>
                          <m:t>cells,1</m:t>
                        </m:r>
                        <m:ctrlPr>
                          <w:rPr>
                            <w:rFonts w:ascii="Cambria Math" w:eastAsiaTheme="minorHAnsi" w:hAnsi="Cambria Math" w:cs="Calibri"/>
                            <w:color w:val="4472C4" w:themeColor="accent1"/>
                            <w:lang w:val="fi-FI"/>
                          </w:rPr>
                        </m:ctrlPr>
                      </m:sub>
                      <m:sup>
                        <m:r>
                          <m:rPr>
                            <m:nor/>
                          </m:rPr>
                          <w:rPr>
                            <w:color w:val="4472C4" w:themeColor="accent1"/>
                            <w:sz w:val="20"/>
                            <w:szCs w:val="20"/>
                          </w:rPr>
                          <m:t>DL,</m:t>
                        </m:r>
                        <m:r>
                          <w:rPr>
                            <w:rFonts w:ascii="Cambria Math" w:hAnsi="Cambria Math"/>
                            <w:color w:val="4472C4" w:themeColor="accent1"/>
                            <w:sz w:val="20"/>
                            <w:szCs w:val="20"/>
                          </w:rPr>
                          <m:t>μ</m:t>
                        </m:r>
                        <m:ctrlPr>
                          <w:rPr>
                            <w:rFonts w:ascii="Cambria Math" w:eastAsiaTheme="minorHAnsi" w:hAnsi="Cambria Math" w:cs="Calibri"/>
                            <w:color w:val="4472C4" w:themeColor="accent1"/>
                            <w:lang w:val="fi-FI"/>
                          </w:rPr>
                        </m:ctrlPr>
                      </m:sup>
                    </m:sSubSup>
                  </m:e>
                </m:d>
              </m:num>
              <m:den>
                <m:nary>
                  <m:naryPr>
                    <m:chr m:val="∑"/>
                    <m:ctrlPr>
                      <w:rPr>
                        <w:rFonts w:ascii="Cambria Math" w:eastAsiaTheme="minorHAnsi" w:hAnsi="Cambria Math" w:cs="Calibri"/>
                        <w:i/>
                        <w:iCs/>
                        <w:color w:val="4472C4" w:themeColor="accent1"/>
                        <w:lang w:val="fi-FI"/>
                      </w:rPr>
                    </m:ctrlPr>
                  </m:naryPr>
                  <m:sub>
                    <m:r>
                      <w:rPr>
                        <w:rFonts w:ascii="Cambria Math" w:hAnsi="Cambria Math"/>
                        <w:color w:val="4472C4" w:themeColor="accent1"/>
                        <w:sz w:val="20"/>
                        <w:szCs w:val="20"/>
                      </w:rPr>
                      <m:t>j=0</m:t>
                    </m:r>
                  </m:sub>
                  <m:sup>
                    <m:r>
                      <w:rPr>
                        <w:rFonts w:ascii="Cambria Math" w:hAnsi="Cambria Math"/>
                        <w:color w:val="4472C4" w:themeColor="accent1"/>
                        <w:sz w:val="20"/>
                        <w:szCs w:val="20"/>
                      </w:rPr>
                      <m:t>3</m:t>
                    </m:r>
                  </m:sup>
                  <m:e>
                    <m:d>
                      <m:dPr>
                        <m:ctrlPr>
                          <w:rPr>
                            <w:rFonts w:ascii="Cambria Math" w:eastAsiaTheme="minorHAnsi" w:hAnsi="Cambria Math" w:cs="Calibri"/>
                            <w:i/>
                            <w:iCs/>
                            <w:color w:val="4472C4" w:themeColor="accent1"/>
                            <w:lang w:val="fi-FI"/>
                          </w:rPr>
                        </m:ctrlPr>
                      </m:dPr>
                      <m:e>
                        <m:sSubSup>
                          <m:sSubSupPr>
                            <m:ctrlPr>
                              <w:rPr>
                                <w:rFonts w:ascii="Cambria Math" w:eastAsiaTheme="minorHAnsi" w:hAnsi="Cambria Math" w:cs="Calibri"/>
                                <w:i/>
                                <w:iCs/>
                                <w:color w:val="4472C4" w:themeColor="accent1"/>
                                <w:lang w:val="fi-FI"/>
                              </w:rPr>
                            </m:ctrlPr>
                          </m:sSubSupPr>
                          <m:e>
                            <m:r>
                              <w:rPr>
                                <w:rFonts w:ascii="Cambria Math" w:hAnsi="Cambria Math"/>
                                <w:color w:val="4472C4" w:themeColor="accent1"/>
                                <w:sz w:val="20"/>
                                <w:szCs w:val="20"/>
                              </w:rPr>
                              <m:t>N</m:t>
                            </m:r>
                          </m:e>
                          <m:sub>
                            <m:r>
                              <m:rPr>
                                <m:nor/>
                              </m:rPr>
                              <w:rPr>
                                <w:color w:val="4472C4" w:themeColor="accent1"/>
                                <w:sz w:val="20"/>
                                <w:szCs w:val="20"/>
                              </w:rPr>
                              <m:t>cells,0</m:t>
                            </m:r>
                            <m:ctrlPr>
                              <w:rPr>
                                <w:rFonts w:ascii="Cambria Math" w:eastAsiaTheme="minorHAnsi" w:hAnsi="Cambria Math" w:cs="Calibri"/>
                                <w:color w:val="4472C4" w:themeColor="accent1"/>
                                <w:lang w:val="fi-FI"/>
                              </w:rPr>
                            </m:ctrlPr>
                          </m:sub>
                          <m:sup>
                            <m:r>
                              <m:rPr>
                                <m:nor/>
                              </m:rPr>
                              <w:rPr>
                                <w:color w:val="4472C4" w:themeColor="accent1"/>
                                <w:sz w:val="20"/>
                                <w:szCs w:val="20"/>
                              </w:rPr>
                              <m:t>DL,</m:t>
                            </m:r>
                            <m:r>
                              <w:rPr>
                                <w:rFonts w:ascii="Cambria Math" w:hAnsi="Cambria Math"/>
                                <w:color w:val="4472C4" w:themeColor="accent1"/>
                                <w:sz w:val="20"/>
                                <w:szCs w:val="20"/>
                              </w:rPr>
                              <m:t>j</m:t>
                            </m:r>
                            <m:ctrlPr>
                              <w:rPr>
                                <w:rFonts w:ascii="Cambria Math" w:eastAsiaTheme="minorHAnsi" w:hAnsi="Cambria Math" w:cs="Calibri"/>
                                <w:color w:val="4472C4" w:themeColor="accent1"/>
                                <w:lang w:val="fi-FI"/>
                              </w:rPr>
                            </m:ctrlPr>
                          </m:sup>
                        </m:sSubSup>
                        <m:r>
                          <w:rPr>
                            <w:rFonts w:ascii="Cambria Math" w:hAnsi="Cambria Math"/>
                            <w:color w:val="4472C4" w:themeColor="accent1"/>
                            <w:sz w:val="20"/>
                            <w:szCs w:val="20"/>
                          </w:rPr>
                          <m:t>+γ∙</m:t>
                        </m:r>
                        <m:sSubSup>
                          <m:sSubSupPr>
                            <m:ctrlPr>
                              <w:rPr>
                                <w:rFonts w:ascii="Cambria Math" w:eastAsiaTheme="minorHAnsi" w:hAnsi="Cambria Math" w:cs="Calibri"/>
                                <w:i/>
                                <w:iCs/>
                                <w:color w:val="4472C4" w:themeColor="accent1"/>
                                <w:lang w:val="fi-FI"/>
                              </w:rPr>
                            </m:ctrlPr>
                          </m:sSubSupPr>
                          <m:e>
                            <m:r>
                              <w:rPr>
                                <w:rFonts w:ascii="Cambria Math" w:hAnsi="Cambria Math"/>
                                <w:color w:val="4472C4" w:themeColor="accent1"/>
                                <w:sz w:val="20"/>
                                <w:szCs w:val="20"/>
                              </w:rPr>
                              <m:t>N</m:t>
                            </m:r>
                          </m:e>
                          <m:sub>
                            <m:r>
                              <m:rPr>
                                <m:nor/>
                              </m:rPr>
                              <w:rPr>
                                <w:color w:val="4472C4" w:themeColor="accent1"/>
                                <w:sz w:val="20"/>
                                <w:szCs w:val="20"/>
                              </w:rPr>
                              <m:t>cells,1</m:t>
                            </m:r>
                            <m:ctrlPr>
                              <w:rPr>
                                <w:rFonts w:ascii="Cambria Math" w:eastAsiaTheme="minorHAnsi" w:hAnsi="Cambria Math" w:cs="Calibri"/>
                                <w:color w:val="4472C4" w:themeColor="accent1"/>
                                <w:lang w:val="fi-FI"/>
                              </w:rPr>
                            </m:ctrlPr>
                          </m:sub>
                          <m:sup>
                            <m:r>
                              <m:rPr>
                                <m:nor/>
                              </m:rPr>
                              <w:rPr>
                                <w:color w:val="4472C4" w:themeColor="accent1"/>
                                <w:sz w:val="20"/>
                                <w:szCs w:val="20"/>
                              </w:rPr>
                              <m:t>DL,</m:t>
                            </m:r>
                            <m:r>
                              <w:rPr>
                                <w:rFonts w:ascii="Cambria Math" w:hAnsi="Cambria Math"/>
                                <w:color w:val="4472C4" w:themeColor="accent1"/>
                                <w:sz w:val="20"/>
                                <w:szCs w:val="20"/>
                              </w:rPr>
                              <m:t>j</m:t>
                            </m:r>
                            <m:ctrlPr>
                              <w:rPr>
                                <w:rFonts w:ascii="Cambria Math" w:eastAsiaTheme="minorHAnsi" w:hAnsi="Cambria Math" w:cs="Calibri"/>
                                <w:color w:val="4472C4" w:themeColor="accent1"/>
                                <w:lang w:val="fi-FI"/>
                              </w:rPr>
                            </m:ctrlPr>
                          </m:sup>
                        </m:sSubSup>
                      </m:e>
                    </m:d>
                  </m:e>
                </m:nary>
              </m:den>
            </m:f>
          </m:e>
        </m:d>
      </m:oMath>
      <w:r w:rsidRPr="00D02893">
        <w:rPr>
          <w:color w:val="4472C4" w:themeColor="accent1"/>
          <w:sz w:val="20"/>
          <w:szCs w:val="20"/>
          <w:lang w:val="fi-FI" w:eastAsia="ko-KR"/>
        </w:rPr>
        <w:t xml:space="preserve"> </w:t>
      </w:r>
      <w:bookmarkEnd w:id="0"/>
      <w:r w:rsidRPr="00D02893">
        <w:rPr>
          <w:color w:val="4472C4" w:themeColor="accent1"/>
          <w:sz w:val="20"/>
          <w:szCs w:val="20"/>
        </w:rPr>
        <w:t xml:space="preserve"> PDCCH candidates or more than </w:t>
      </w:r>
      <m:oMath>
        <m:sSubSup>
          <m:sSubSupPr>
            <m:ctrlPr>
              <w:rPr>
                <w:rFonts w:ascii="Cambria Math" w:eastAsiaTheme="minorHAnsi" w:hAnsi="Cambria Math" w:cs="Calibri"/>
                <w:i/>
                <w:iCs/>
                <w:color w:val="4472C4" w:themeColor="accent1"/>
                <w:lang w:val="fi-FI"/>
              </w:rPr>
            </m:ctrlPr>
          </m:sSubSupPr>
          <m:e>
            <m:r>
              <w:rPr>
                <w:rFonts w:ascii="Cambria Math" w:hAnsi="Cambria Math"/>
                <w:color w:val="4472C4" w:themeColor="accent1"/>
                <w:sz w:val="20"/>
                <w:szCs w:val="20"/>
              </w:rPr>
              <m:t>C</m:t>
            </m:r>
          </m:e>
          <m:sub>
            <m:r>
              <m:rPr>
                <m:nor/>
              </m:rPr>
              <w:rPr>
                <w:color w:val="4472C4" w:themeColor="accent1"/>
                <w:sz w:val="20"/>
                <w:szCs w:val="20"/>
              </w:rPr>
              <m:t>PDCCH</m:t>
            </m:r>
            <m:ctrlPr>
              <w:rPr>
                <w:rFonts w:ascii="Cambria Math" w:eastAsiaTheme="minorHAnsi" w:hAnsi="Cambria Math" w:cs="Calibri"/>
                <w:color w:val="4472C4" w:themeColor="accent1"/>
                <w:lang w:val="fi-FI"/>
              </w:rPr>
            </m:ctrlPr>
          </m:sub>
          <m:sup>
            <w:proofErr w:type="spellStart"/>
            <m:r>
              <m:rPr>
                <m:nor/>
              </m:rPr>
              <w:rPr>
                <w:color w:val="4472C4" w:themeColor="accent1"/>
                <w:sz w:val="20"/>
                <w:szCs w:val="20"/>
              </w:rPr>
              <m:t>total,slot</m:t>
            </m:r>
            <w:proofErr w:type="spellEnd"/>
            <m:r>
              <m:rPr>
                <m:nor/>
              </m:rPr>
              <w:rPr>
                <w:color w:val="4472C4" w:themeColor="accent1"/>
                <w:sz w:val="20"/>
                <w:szCs w:val="20"/>
              </w:rPr>
              <m:t>,</m:t>
            </m:r>
            <m:r>
              <w:rPr>
                <w:rFonts w:ascii="Cambria Math" w:hAnsi="Cambria Math"/>
                <w:color w:val="4472C4" w:themeColor="accent1"/>
                <w:sz w:val="20"/>
                <w:szCs w:val="20"/>
              </w:rPr>
              <m:t>μ</m:t>
            </m:r>
            <m:ctrlPr>
              <w:rPr>
                <w:rFonts w:ascii="Cambria Math" w:eastAsiaTheme="minorHAnsi" w:hAnsi="Cambria Math" w:cs="Calibri"/>
                <w:color w:val="4472C4" w:themeColor="accent1"/>
                <w:lang w:val="fi-FI"/>
              </w:rPr>
            </m:ctrlPr>
          </m:sup>
        </m:sSubSup>
        <m:r>
          <w:rPr>
            <w:rFonts w:ascii="Cambria Math" w:hAnsi="Cambria Math"/>
            <w:color w:val="4472C4" w:themeColor="accent1"/>
            <w:sz w:val="20"/>
            <w:szCs w:val="20"/>
          </w:rPr>
          <m:t>=</m:t>
        </m:r>
        <m:d>
          <m:dPr>
            <m:begChr m:val="⌊"/>
            <m:endChr m:val="⌋"/>
            <m:ctrlPr>
              <w:rPr>
                <w:rFonts w:ascii="Cambria Math" w:eastAsiaTheme="minorHAnsi" w:hAnsi="Cambria Math" w:cs="Calibri"/>
                <w:i/>
                <w:iCs/>
                <w:color w:val="4472C4" w:themeColor="accent1"/>
                <w:lang w:val="fi-FI"/>
              </w:rPr>
            </m:ctrlPr>
          </m:dPr>
          <m:e>
            <m:sSubSup>
              <m:sSubSupPr>
                <m:ctrlPr>
                  <w:rPr>
                    <w:rFonts w:ascii="Cambria Math" w:eastAsiaTheme="minorHAnsi" w:hAnsi="Cambria Math" w:cs="Calibri"/>
                    <w:i/>
                    <w:iCs/>
                    <w:color w:val="4472C4" w:themeColor="accent1"/>
                    <w:lang w:val="fi-FI"/>
                  </w:rPr>
                </m:ctrlPr>
              </m:sSubSupPr>
              <m:e>
                <m:r>
                  <w:rPr>
                    <w:rFonts w:ascii="Cambria Math" w:hAnsi="Cambria Math"/>
                    <w:color w:val="4472C4" w:themeColor="accent1"/>
                    <w:sz w:val="20"/>
                    <w:szCs w:val="20"/>
                  </w:rPr>
                  <m:t>N</m:t>
                </m:r>
              </m:e>
              <m:sub>
                <m:r>
                  <m:rPr>
                    <m:nor/>
                  </m:rPr>
                  <w:rPr>
                    <w:color w:val="4472C4" w:themeColor="accent1"/>
                    <w:sz w:val="20"/>
                    <w:szCs w:val="20"/>
                  </w:rPr>
                  <m:t>cells</m:t>
                </m:r>
                <m:ctrlPr>
                  <w:rPr>
                    <w:rFonts w:ascii="Cambria Math" w:eastAsiaTheme="minorHAnsi" w:hAnsi="Cambria Math" w:cs="Calibri"/>
                    <w:color w:val="4472C4" w:themeColor="accent1"/>
                    <w:lang w:val="fi-FI"/>
                  </w:rPr>
                </m:ctrlPr>
              </m:sub>
              <m:sup>
                <m:r>
                  <m:rPr>
                    <m:nor/>
                  </m:rPr>
                  <w:rPr>
                    <w:color w:val="4472C4" w:themeColor="accent1"/>
                    <w:sz w:val="20"/>
                    <w:szCs w:val="20"/>
                  </w:rPr>
                  <m:t>cap</m:t>
                </m:r>
                <m:ctrlPr>
                  <w:rPr>
                    <w:rFonts w:ascii="Cambria Math" w:eastAsiaTheme="minorHAnsi" w:hAnsi="Cambria Math" w:cs="Calibri"/>
                    <w:color w:val="4472C4" w:themeColor="accent1"/>
                    <w:lang w:val="fi-FI"/>
                  </w:rPr>
                </m:ctrlPr>
              </m:sup>
            </m:sSubSup>
            <m:r>
              <w:rPr>
                <w:rFonts w:ascii="Cambria Math" w:hAnsi="Cambria Math"/>
                <w:color w:val="4472C4" w:themeColor="accent1"/>
                <w:sz w:val="20"/>
                <w:szCs w:val="20"/>
              </w:rPr>
              <m:t>⋅</m:t>
            </m:r>
            <m:sSubSup>
              <m:sSubSupPr>
                <m:ctrlPr>
                  <w:rPr>
                    <w:rFonts w:ascii="Cambria Math" w:eastAsiaTheme="minorHAnsi" w:hAnsi="Cambria Math" w:cs="Calibri"/>
                    <w:i/>
                    <w:iCs/>
                    <w:color w:val="4472C4" w:themeColor="accent1"/>
                    <w:lang w:val="fi-FI"/>
                  </w:rPr>
                </m:ctrlPr>
              </m:sSubSupPr>
              <m:e>
                <m:r>
                  <w:rPr>
                    <w:rFonts w:ascii="Cambria Math" w:hAnsi="Cambria Math"/>
                    <w:color w:val="4472C4" w:themeColor="accent1"/>
                    <w:sz w:val="20"/>
                    <w:szCs w:val="20"/>
                  </w:rPr>
                  <m:t>C</m:t>
                </m:r>
              </m:e>
              <m:sub>
                <m:r>
                  <m:rPr>
                    <m:nor/>
                  </m:rPr>
                  <w:rPr>
                    <w:color w:val="4472C4" w:themeColor="accent1"/>
                    <w:sz w:val="20"/>
                    <w:szCs w:val="20"/>
                  </w:rPr>
                  <m:t>PDCCH</m:t>
                </m:r>
                <m:ctrlPr>
                  <w:rPr>
                    <w:rFonts w:ascii="Cambria Math" w:eastAsiaTheme="minorHAnsi" w:hAnsi="Cambria Math" w:cs="Calibri"/>
                    <w:color w:val="4472C4" w:themeColor="accent1"/>
                    <w:lang w:val="fi-FI"/>
                  </w:rPr>
                </m:ctrlPr>
              </m:sub>
              <m:sup>
                <w:proofErr w:type="spellStart"/>
                <m:r>
                  <m:rPr>
                    <m:nor/>
                  </m:rPr>
                  <w:rPr>
                    <w:color w:val="4472C4" w:themeColor="accent1"/>
                    <w:sz w:val="20"/>
                    <w:szCs w:val="20"/>
                  </w:rPr>
                  <m:t>max,slot</m:t>
                </m:r>
                <w:proofErr w:type="spellEnd"/>
                <m:r>
                  <m:rPr>
                    <m:nor/>
                  </m:rPr>
                  <w:rPr>
                    <w:color w:val="4472C4" w:themeColor="accent1"/>
                    <w:sz w:val="20"/>
                    <w:szCs w:val="20"/>
                  </w:rPr>
                  <m:t>,</m:t>
                </m:r>
                <m:r>
                  <w:rPr>
                    <w:rFonts w:ascii="Cambria Math" w:hAnsi="Cambria Math"/>
                    <w:color w:val="4472C4" w:themeColor="accent1"/>
                    <w:sz w:val="20"/>
                    <w:szCs w:val="20"/>
                  </w:rPr>
                  <m:t>μ</m:t>
                </m:r>
                <m:ctrlPr>
                  <w:rPr>
                    <w:rFonts w:ascii="Cambria Math" w:eastAsiaTheme="minorHAnsi" w:hAnsi="Cambria Math" w:cs="Calibri"/>
                    <w:color w:val="4472C4" w:themeColor="accent1"/>
                    <w:lang w:val="fi-FI"/>
                  </w:rPr>
                </m:ctrlPr>
              </m:sup>
            </m:sSubSup>
            <m:r>
              <w:rPr>
                <w:rFonts w:ascii="Cambria Math" w:hAnsi="Cambria Math"/>
                <w:color w:val="4472C4" w:themeColor="accent1"/>
                <w:sz w:val="20"/>
                <w:szCs w:val="20"/>
              </w:rPr>
              <m:t>⋅</m:t>
            </m:r>
            <m:f>
              <m:fPr>
                <m:type m:val="lin"/>
                <m:ctrlPr>
                  <w:rPr>
                    <w:rFonts w:ascii="Cambria Math" w:eastAsiaTheme="minorHAnsi" w:hAnsi="Cambria Math" w:cs="Calibri"/>
                    <w:i/>
                    <w:iCs/>
                    <w:color w:val="4472C4" w:themeColor="accent1"/>
                    <w:lang w:val="fi-FI"/>
                  </w:rPr>
                </m:ctrlPr>
              </m:fPr>
              <m:num>
                <m:d>
                  <m:dPr>
                    <m:ctrlPr>
                      <w:rPr>
                        <w:rFonts w:ascii="Cambria Math" w:eastAsiaTheme="minorHAnsi" w:hAnsi="Cambria Math" w:cs="Calibri"/>
                        <w:i/>
                        <w:iCs/>
                        <w:color w:val="4472C4" w:themeColor="accent1"/>
                        <w:lang w:val="fi-FI"/>
                      </w:rPr>
                    </m:ctrlPr>
                  </m:dPr>
                  <m:e>
                    <m:sSubSup>
                      <m:sSubSupPr>
                        <m:ctrlPr>
                          <w:rPr>
                            <w:rFonts w:ascii="Cambria Math" w:eastAsiaTheme="minorHAnsi" w:hAnsi="Cambria Math" w:cs="Calibri"/>
                            <w:i/>
                            <w:iCs/>
                            <w:color w:val="4472C4" w:themeColor="accent1"/>
                            <w:lang w:val="fi-FI"/>
                          </w:rPr>
                        </m:ctrlPr>
                      </m:sSubSupPr>
                      <m:e>
                        <m:r>
                          <w:rPr>
                            <w:rFonts w:ascii="Cambria Math" w:hAnsi="Cambria Math"/>
                            <w:color w:val="4472C4" w:themeColor="accent1"/>
                            <w:sz w:val="20"/>
                            <w:szCs w:val="20"/>
                          </w:rPr>
                          <m:t>N</m:t>
                        </m:r>
                      </m:e>
                      <m:sub>
                        <m:r>
                          <m:rPr>
                            <m:nor/>
                          </m:rPr>
                          <w:rPr>
                            <w:color w:val="4472C4" w:themeColor="accent1"/>
                            <w:sz w:val="20"/>
                            <w:szCs w:val="20"/>
                          </w:rPr>
                          <m:t>cells,0</m:t>
                        </m:r>
                        <m:ctrlPr>
                          <w:rPr>
                            <w:rFonts w:ascii="Cambria Math" w:eastAsiaTheme="minorHAnsi" w:hAnsi="Cambria Math" w:cs="Calibri"/>
                            <w:color w:val="4472C4" w:themeColor="accent1"/>
                            <w:lang w:val="fi-FI"/>
                          </w:rPr>
                        </m:ctrlPr>
                      </m:sub>
                      <m:sup>
                        <m:r>
                          <m:rPr>
                            <m:nor/>
                          </m:rPr>
                          <w:rPr>
                            <w:color w:val="4472C4" w:themeColor="accent1"/>
                            <w:sz w:val="20"/>
                            <w:szCs w:val="20"/>
                          </w:rPr>
                          <m:t>DL,</m:t>
                        </m:r>
                        <m:r>
                          <w:rPr>
                            <w:rFonts w:ascii="Cambria Math" w:hAnsi="Cambria Math"/>
                            <w:color w:val="4472C4" w:themeColor="accent1"/>
                            <w:sz w:val="20"/>
                            <w:szCs w:val="20"/>
                          </w:rPr>
                          <m:t>μ</m:t>
                        </m:r>
                        <m:ctrlPr>
                          <w:rPr>
                            <w:rFonts w:ascii="Cambria Math" w:eastAsiaTheme="minorHAnsi" w:hAnsi="Cambria Math" w:cs="Calibri"/>
                            <w:color w:val="4472C4" w:themeColor="accent1"/>
                            <w:lang w:val="fi-FI"/>
                          </w:rPr>
                        </m:ctrlPr>
                      </m:sup>
                    </m:sSubSup>
                    <m:r>
                      <w:rPr>
                        <w:rFonts w:ascii="Cambria Math" w:hAnsi="Cambria Math"/>
                        <w:color w:val="4472C4" w:themeColor="accent1"/>
                        <w:sz w:val="20"/>
                        <w:szCs w:val="20"/>
                      </w:rPr>
                      <m:t>+γ∙</m:t>
                    </m:r>
                    <m:sSubSup>
                      <m:sSubSupPr>
                        <m:ctrlPr>
                          <w:rPr>
                            <w:rFonts w:ascii="Cambria Math" w:eastAsiaTheme="minorHAnsi" w:hAnsi="Cambria Math" w:cs="Calibri"/>
                            <w:i/>
                            <w:iCs/>
                            <w:color w:val="4472C4" w:themeColor="accent1"/>
                            <w:lang w:val="fi-FI"/>
                          </w:rPr>
                        </m:ctrlPr>
                      </m:sSubSupPr>
                      <m:e>
                        <m:r>
                          <w:rPr>
                            <w:rFonts w:ascii="Cambria Math" w:hAnsi="Cambria Math"/>
                            <w:color w:val="4472C4" w:themeColor="accent1"/>
                            <w:sz w:val="20"/>
                            <w:szCs w:val="20"/>
                          </w:rPr>
                          <m:t>N</m:t>
                        </m:r>
                      </m:e>
                      <m:sub>
                        <m:r>
                          <m:rPr>
                            <m:nor/>
                          </m:rPr>
                          <w:rPr>
                            <w:color w:val="4472C4" w:themeColor="accent1"/>
                            <w:sz w:val="20"/>
                            <w:szCs w:val="20"/>
                          </w:rPr>
                          <m:t>cells,1</m:t>
                        </m:r>
                        <m:ctrlPr>
                          <w:rPr>
                            <w:rFonts w:ascii="Cambria Math" w:eastAsiaTheme="minorHAnsi" w:hAnsi="Cambria Math" w:cs="Calibri"/>
                            <w:color w:val="4472C4" w:themeColor="accent1"/>
                            <w:lang w:val="fi-FI"/>
                          </w:rPr>
                        </m:ctrlPr>
                      </m:sub>
                      <m:sup>
                        <m:r>
                          <m:rPr>
                            <m:nor/>
                          </m:rPr>
                          <w:rPr>
                            <w:color w:val="4472C4" w:themeColor="accent1"/>
                            <w:sz w:val="20"/>
                            <w:szCs w:val="20"/>
                          </w:rPr>
                          <m:t>DL,</m:t>
                        </m:r>
                        <m:r>
                          <w:rPr>
                            <w:rFonts w:ascii="Cambria Math" w:hAnsi="Cambria Math"/>
                            <w:color w:val="4472C4" w:themeColor="accent1"/>
                            <w:sz w:val="20"/>
                            <w:szCs w:val="20"/>
                          </w:rPr>
                          <m:t>μ</m:t>
                        </m:r>
                        <m:ctrlPr>
                          <w:rPr>
                            <w:rFonts w:ascii="Cambria Math" w:eastAsiaTheme="minorHAnsi" w:hAnsi="Cambria Math" w:cs="Calibri"/>
                            <w:color w:val="4472C4" w:themeColor="accent1"/>
                            <w:lang w:val="fi-FI"/>
                          </w:rPr>
                        </m:ctrlPr>
                      </m:sup>
                    </m:sSubSup>
                  </m:e>
                </m:d>
              </m:num>
              <m:den>
                <m:nary>
                  <m:naryPr>
                    <m:chr m:val="∑"/>
                    <m:ctrlPr>
                      <w:rPr>
                        <w:rFonts w:ascii="Cambria Math" w:eastAsiaTheme="minorHAnsi" w:hAnsi="Cambria Math" w:cs="Calibri"/>
                        <w:i/>
                        <w:iCs/>
                        <w:color w:val="4472C4" w:themeColor="accent1"/>
                        <w:lang w:val="fi-FI"/>
                      </w:rPr>
                    </m:ctrlPr>
                  </m:naryPr>
                  <m:sub>
                    <m:r>
                      <w:rPr>
                        <w:rFonts w:ascii="Cambria Math" w:hAnsi="Cambria Math"/>
                        <w:color w:val="4472C4" w:themeColor="accent1"/>
                        <w:sz w:val="20"/>
                        <w:szCs w:val="20"/>
                      </w:rPr>
                      <m:t>j=0</m:t>
                    </m:r>
                  </m:sub>
                  <m:sup>
                    <m:r>
                      <w:rPr>
                        <w:rFonts w:ascii="Cambria Math" w:hAnsi="Cambria Math"/>
                        <w:color w:val="4472C4" w:themeColor="accent1"/>
                        <w:sz w:val="20"/>
                        <w:szCs w:val="20"/>
                      </w:rPr>
                      <m:t>3</m:t>
                    </m:r>
                  </m:sup>
                  <m:e>
                    <m:d>
                      <m:dPr>
                        <m:ctrlPr>
                          <w:rPr>
                            <w:rFonts w:ascii="Cambria Math" w:eastAsiaTheme="minorHAnsi" w:hAnsi="Cambria Math" w:cs="Calibri"/>
                            <w:i/>
                            <w:iCs/>
                            <w:color w:val="4472C4" w:themeColor="accent1"/>
                            <w:lang w:val="fi-FI"/>
                          </w:rPr>
                        </m:ctrlPr>
                      </m:dPr>
                      <m:e>
                        <m:sSubSup>
                          <m:sSubSupPr>
                            <m:ctrlPr>
                              <w:rPr>
                                <w:rFonts w:ascii="Cambria Math" w:eastAsiaTheme="minorHAnsi" w:hAnsi="Cambria Math" w:cs="Calibri"/>
                                <w:i/>
                                <w:iCs/>
                                <w:color w:val="4472C4" w:themeColor="accent1"/>
                                <w:lang w:val="fi-FI"/>
                              </w:rPr>
                            </m:ctrlPr>
                          </m:sSubSupPr>
                          <m:e>
                            <m:r>
                              <w:rPr>
                                <w:rFonts w:ascii="Cambria Math" w:hAnsi="Cambria Math"/>
                                <w:color w:val="4472C4" w:themeColor="accent1"/>
                                <w:sz w:val="20"/>
                                <w:szCs w:val="20"/>
                              </w:rPr>
                              <m:t>N</m:t>
                            </m:r>
                          </m:e>
                          <m:sub>
                            <m:r>
                              <m:rPr>
                                <m:nor/>
                              </m:rPr>
                              <w:rPr>
                                <w:color w:val="4472C4" w:themeColor="accent1"/>
                                <w:sz w:val="20"/>
                                <w:szCs w:val="20"/>
                              </w:rPr>
                              <m:t>cells,0</m:t>
                            </m:r>
                            <m:ctrlPr>
                              <w:rPr>
                                <w:rFonts w:ascii="Cambria Math" w:eastAsiaTheme="minorHAnsi" w:hAnsi="Cambria Math" w:cs="Calibri"/>
                                <w:color w:val="4472C4" w:themeColor="accent1"/>
                                <w:lang w:val="fi-FI"/>
                              </w:rPr>
                            </m:ctrlPr>
                          </m:sub>
                          <m:sup>
                            <m:r>
                              <m:rPr>
                                <m:nor/>
                              </m:rPr>
                              <w:rPr>
                                <w:color w:val="4472C4" w:themeColor="accent1"/>
                                <w:sz w:val="20"/>
                                <w:szCs w:val="20"/>
                              </w:rPr>
                              <m:t>DL,</m:t>
                            </m:r>
                            <m:r>
                              <w:rPr>
                                <w:rFonts w:ascii="Cambria Math" w:hAnsi="Cambria Math"/>
                                <w:color w:val="4472C4" w:themeColor="accent1"/>
                                <w:sz w:val="20"/>
                                <w:szCs w:val="20"/>
                              </w:rPr>
                              <m:t>j</m:t>
                            </m:r>
                            <m:ctrlPr>
                              <w:rPr>
                                <w:rFonts w:ascii="Cambria Math" w:eastAsiaTheme="minorHAnsi" w:hAnsi="Cambria Math" w:cs="Calibri"/>
                                <w:color w:val="4472C4" w:themeColor="accent1"/>
                                <w:lang w:val="fi-FI"/>
                              </w:rPr>
                            </m:ctrlPr>
                          </m:sup>
                        </m:sSubSup>
                        <m:r>
                          <w:rPr>
                            <w:rFonts w:ascii="Cambria Math" w:hAnsi="Cambria Math"/>
                            <w:color w:val="4472C4" w:themeColor="accent1"/>
                            <w:sz w:val="20"/>
                            <w:szCs w:val="20"/>
                          </w:rPr>
                          <m:t>+γ∙</m:t>
                        </m:r>
                        <m:sSubSup>
                          <m:sSubSupPr>
                            <m:ctrlPr>
                              <w:rPr>
                                <w:rFonts w:ascii="Cambria Math" w:eastAsiaTheme="minorHAnsi" w:hAnsi="Cambria Math" w:cs="Calibri"/>
                                <w:i/>
                                <w:iCs/>
                                <w:color w:val="4472C4" w:themeColor="accent1"/>
                                <w:lang w:val="fi-FI"/>
                              </w:rPr>
                            </m:ctrlPr>
                          </m:sSubSupPr>
                          <m:e>
                            <m:r>
                              <w:rPr>
                                <w:rFonts w:ascii="Cambria Math" w:hAnsi="Cambria Math"/>
                                <w:color w:val="4472C4" w:themeColor="accent1"/>
                                <w:sz w:val="20"/>
                                <w:szCs w:val="20"/>
                              </w:rPr>
                              <m:t>N</m:t>
                            </m:r>
                          </m:e>
                          <m:sub>
                            <m:r>
                              <m:rPr>
                                <m:nor/>
                              </m:rPr>
                              <w:rPr>
                                <w:color w:val="4472C4" w:themeColor="accent1"/>
                                <w:sz w:val="20"/>
                                <w:szCs w:val="20"/>
                              </w:rPr>
                              <m:t>cells,1</m:t>
                            </m:r>
                            <m:ctrlPr>
                              <w:rPr>
                                <w:rFonts w:ascii="Cambria Math" w:eastAsiaTheme="minorHAnsi" w:hAnsi="Cambria Math" w:cs="Calibri"/>
                                <w:color w:val="4472C4" w:themeColor="accent1"/>
                                <w:lang w:val="fi-FI"/>
                              </w:rPr>
                            </m:ctrlPr>
                          </m:sub>
                          <m:sup>
                            <m:r>
                              <m:rPr>
                                <m:nor/>
                              </m:rPr>
                              <w:rPr>
                                <w:color w:val="4472C4" w:themeColor="accent1"/>
                                <w:sz w:val="20"/>
                                <w:szCs w:val="20"/>
                              </w:rPr>
                              <m:t>DL,</m:t>
                            </m:r>
                            <m:r>
                              <w:rPr>
                                <w:rFonts w:ascii="Cambria Math" w:hAnsi="Cambria Math"/>
                                <w:color w:val="4472C4" w:themeColor="accent1"/>
                                <w:sz w:val="20"/>
                                <w:szCs w:val="20"/>
                              </w:rPr>
                              <m:t>j</m:t>
                            </m:r>
                            <m:ctrlPr>
                              <w:rPr>
                                <w:rFonts w:ascii="Cambria Math" w:eastAsiaTheme="minorHAnsi" w:hAnsi="Cambria Math" w:cs="Calibri"/>
                                <w:color w:val="4472C4" w:themeColor="accent1"/>
                                <w:lang w:val="fi-FI"/>
                              </w:rPr>
                            </m:ctrlPr>
                          </m:sup>
                        </m:sSubSup>
                      </m:e>
                    </m:d>
                  </m:e>
                </m:nary>
              </m:den>
            </m:f>
          </m:e>
        </m:d>
      </m:oMath>
      <w:r w:rsidRPr="00D02893">
        <w:rPr>
          <w:color w:val="4472C4" w:themeColor="accent1"/>
          <w:sz w:val="20"/>
          <w:szCs w:val="20"/>
        </w:rPr>
        <w:t xml:space="preserve"> non-overlapped CCEs per slot on the active DL BWP(s) of scheduling cell(s) from the </w:t>
      </w:r>
      <m:oMath>
        <m:sSubSup>
          <m:sSubSupPr>
            <m:ctrlPr>
              <w:rPr>
                <w:rFonts w:ascii="Cambria Math" w:eastAsiaTheme="minorHAnsi" w:hAnsi="Cambria Math" w:cs="Calibri"/>
                <w:i/>
                <w:iCs/>
                <w:color w:val="4472C4" w:themeColor="accent1"/>
                <w:lang w:val="fi-FI"/>
              </w:rPr>
            </m:ctrlPr>
          </m:sSubSupPr>
          <m:e>
            <m:r>
              <w:rPr>
                <w:rFonts w:ascii="Cambria Math" w:hAnsi="Cambria Math"/>
                <w:color w:val="4472C4" w:themeColor="accent1"/>
                <w:sz w:val="20"/>
                <w:szCs w:val="20"/>
              </w:rPr>
              <m:t>N</m:t>
            </m:r>
          </m:e>
          <m:sub>
            <m:r>
              <m:rPr>
                <m:nor/>
              </m:rPr>
              <w:rPr>
                <w:color w:val="4472C4" w:themeColor="accent1"/>
                <w:sz w:val="20"/>
                <w:szCs w:val="20"/>
              </w:rPr>
              <m:t>cells,0</m:t>
            </m:r>
            <m:ctrlPr>
              <w:rPr>
                <w:rFonts w:ascii="Cambria Math" w:eastAsiaTheme="minorHAnsi" w:hAnsi="Cambria Math" w:cs="Calibri"/>
                <w:color w:val="4472C4" w:themeColor="accent1"/>
                <w:lang w:val="fi-FI"/>
              </w:rPr>
            </m:ctrlPr>
          </m:sub>
          <m:sup>
            <m:r>
              <m:rPr>
                <m:nor/>
              </m:rPr>
              <w:rPr>
                <w:color w:val="4472C4" w:themeColor="accent1"/>
                <w:sz w:val="20"/>
                <w:szCs w:val="20"/>
              </w:rPr>
              <m:t>DL</m:t>
            </m:r>
            <m:ctrlPr>
              <w:rPr>
                <w:rFonts w:ascii="Cambria Math" w:eastAsiaTheme="minorHAnsi" w:hAnsi="Cambria Math" w:cs="Calibri"/>
                <w:color w:val="4472C4" w:themeColor="accent1"/>
                <w:lang w:val="fi-FI"/>
              </w:rPr>
            </m:ctrlPr>
          </m:sup>
        </m:sSubSup>
        <m:r>
          <w:rPr>
            <w:rFonts w:ascii="Cambria Math" w:hAnsi="Cambria Math"/>
            <w:color w:val="4472C4" w:themeColor="accent1"/>
            <w:sz w:val="20"/>
            <w:szCs w:val="20"/>
          </w:rPr>
          <m:t>+</m:t>
        </m:r>
        <m:sSubSup>
          <m:sSubSupPr>
            <m:ctrlPr>
              <w:rPr>
                <w:rFonts w:ascii="Cambria Math" w:eastAsiaTheme="minorHAnsi" w:hAnsi="Cambria Math" w:cs="Calibri"/>
                <w:i/>
                <w:iCs/>
                <w:color w:val="4472C4" w:themeColor="accent1"/>
                <w:lang w:val="fi-FI"/>
              </w:rPr>
            </m:ctrlPr>
          </m:sSubSupPr>
          <m:e>
            <m:r>
              <w:rPr>
                <w:rFonts w:ascii="Cambria Math" w:hAnsi="Cambria Math"/>
                <w:color w:val="4472C4" w:themeColor="accent1"/>
                <w:sz w:val="20"/>
                <w:szCs w:val="20"/>
              </w:rPr>
              <m:t>N</m:t>
            </m:r>
          </m:e>
          <m:sub>
            <m:r>
              <m:rPr>
                <m:nor/>
              </m:rPr>
              <w:rPr>
                <w:color w:val="4472C4" w:themeColor="accent1"/>
                <w:sz w:val="20"/>
                <w:szCs w:val="20"/>
              </w:rPr>
              <m:t>cells,1</m:t>
            </m:r>
            <m:ctrlPr>
              <w:rPr>
                <w:rFonts w:ascii="Cambria Math" w:eastAsiaTheme="minorHAnsi" w:hAnsi="Cambria Math" w:cs="Calibri"/>
                <w:color w:val="4472C4" w:themeColor="accent1"/>
                <w:lang w:val="fi-FI"/>
              </w:rPr>
            </m:ctrlPr>
          </m:sub>
          <m:sup>
            <m:r>
              <m:rPr>
                <m:nor/>
              </m:rPr>
              <w:rPr>
                <w:color w:val="4472C4" w:themeColor="accent1"/>
                <w:sz w:val="20"/>
                <w:szCs w:val="20"/>
              </w:rPr>
              <m:t>DL</m:t>
            </m:r>
            <m:ctrlPr>
              <w:rPr>
                <w:rFonts w:ascii="Cambria Math" w:eastAsiaTheme="minorHAnsi" w:hAnsi="Cambria Math" w:cs="Calibri"/>
                <w:color w:val="4472C4" w:themeColor="accent1"/>
                <w:lang w:val="fi-FI"/>
              </w:rPr>
            </m:ctrlPr>
          </m:sup>
        </m:sSubSup>
      </m:oMath>
      <w:r w:rsidRPr="00D02893">
        <w:rPr>
          <w:color w:val="4472C4" w:themeColor="accent1"/>
          <w:sz w:val="20"/>
          <w:szCs w:val="20"/>
        </w:rPr>
        <w:t xml:space="preserve"> downlink cells</w:t>
      </w:r>
    </w:p>
    <w:p w14:paraId="635B0A54" w14:textId="77777777" w:rsidR="00316EEE" w:rsidRPr="00D02893" w:rsidRDefault="00316EEE" w:rsidP="00CF49CD">
      <w:pPr>
        <w:pStyle w:val="ListParagraph"/>
        <w:numPr>
          <w:ilvl w:val="0"/>
          <w:numId w:val="34"/>
        </w:numPr>
        <w:overflowPunct/>
        <w:autoSpaceDE/>
        <w:autoSpaceDN/>
        <w:adjustRightInd/>
        <w:spacing w:before="120"/>
        <w:textAlignment w:val="auto"/>
        <w:rPr>
          <w:color w:val="4472C4" w:themeColor="accent1"/>
          <w:sz w:val="20"/>
          <w:szCs w:val="20"/>
        </w:rPr>
      </w:pPr>
      <w:r w:rsidRPr="00D02893">
        <w:rPr>
          <w:color w:val="4472C4" w:themeColor="accent1"/>
          <w:sz w:val="20"/>
          <w:szCs w:val="20"/>
        </w:rPr>
        <w:t xml:space="preserve">For each scheduled cell, the UE is not required to monitor on the active DL BWP </w:t>
      </w:r>
      <w:r w:rsidRPr="00D02893">
        <w:rPr>
          <w:color w:val="4472C4" w:themeColor="accent1"/>
          <w:sz w:val="20"/>
          <w:szCs w:val="20"/>
          <w:lang w:eastAsia="ko-KR"/>
        </w:rPr>
        <w:t xml:space="preserve">with </w:t>
      </w:r>
      <w:r w:rsidRPr="00D02893">
        <w:rPr>
          <w:color w:val="4472C4" w:themeColor="accent1"/>
          <w:sz w:val="20"/>
          <w:szCs w:val="20"/>
        </w:rPr>
        <w:t xml:space="preserve">SCS configuration </w:t>
      </w:r>
      <m:oMath>
        <m:r>
          <w:rPr>
            <w:rFonts w:ascii="Cambria Math" w:hAnsi="Cambria Math"/>
            <w:color w:val="4472C4" w:themeColor="accent1"/>
            <w:sz w:val="20"/>
            <w:szCs w:val="20"/>
          </w:rPr>
          <m:t>μ</m:t>
        </m:r>
      </m:oMath>
      <w:r w:rsidRPr="00D02893">
        <w:rPr>
          <w:color w:val="4472C4" w:themeColor="accent1"/>
          <w:sz w:val="20"/>
          <w:szCs w:val="20"/>
        </w:rPr>
        <w:t xml:space="preserve"> of the scheduling cell from the </w:t>
      </w:r>
      <m:oMath>
        <m:sSubSup>
          <m:sSubSupPr>
            <m:ctrlPr>
              <w:rPr>
                <w:rFonts w:ascii="Cambria Math" w:eastAsiaTheme="minorHAnsi" w:hAnsi="Cambria Math" w:cs="Calibri"/>
                <w:i/>
                <w:iCs/>
                <w:color w:val="4472C4" w:themeColor="accent1"/>
                <w:lang w:val="fi-FI"/>
              </w:rPr>
            </m:ctrlPr>
          </m:sSubSupPr>
          <m:e>
            <m:r>
              <w:rPr>
                <w:rFonts w:ascii="Cambria Math" w:hAnsi="Cambria Math"/>
                <w:color w:val="4472C4" w:themeColor="accent1"/>
                <w:sz w:val="20"/>
                <w:szCs w:val="20"/>
              </w:rPr>
              <m:t>N</m:t>
            </m:r>
          </m:e>
          <m:sub>
            <m:r>
              <m:rPr>
                <m:nor/>
              </m:rPr>
              <w:rPr>
                <w:color w:val="4472C4" w:themeColor="accent1"/>
                <w:sz w:val="20"/>
                <w:szCs w:val="20"/>
              </w:rPr>
              <m:t>cells,1</m:t>
            </m:r>
            <m:ctrlPr>
              <w:rPr>
                <w:rFonts w:ascii="Cambria Math" w:eastAsiaTheme="minorHAnsi" w:hAnsi="Cambria Math" w:cs="Calibri"/>
                <w:color w:val="4472C4" w:themeColor="accent1"/>
                <w:lang w:val="fi-FI"/>
              </w:rPr>
            </m:ctrlPr>
          </m:sub>
          <m:sup>
            <m:r>
              <m:rPr>
                <m:nor/>
              </m:rPr>
              <w:rPr>
                <w:color w:val="4472C4" w:themeColor="accent1"/>
                <w:sz w:val="20"/>
                <w:szCs w:val="20"/>
              </w:rPr>
              <m:t>DL,</m:t>
            </m:r>
            <m:r>
              <w:rPr>
                <w:rFonts w:ascii="Cambria Math" w:hAnsi="Cambria Math"/>
                <w:color w:val="4472C4" w:themeColor="accent1"/>
                <w:sz w:val="20"/>
                <w:szCs w:val="20"/>
              </w:rPr>
              <m:t>μ</m:t>
            </m:r>
            <m:ctrlPr>
              <w:rPr>
                <w:rFonts w:ascii="Cambria Math" w:eastAsiaTheme="minorHAnsi" w:hAnsi="Cambria Math" w:cs="Calibri"/>
                <w:color w:val="4472C4" w:themeColor="accent1"/>
                <w:lang w:val="fi-FI"/>
              </w:rPr>
            </m:ctrlPr>
          </m:sup>
        </m:sSubSup>
      </m:oMath>
      <w:r w:rsidRPr="00D02893">
        <w:rPr>
          <w:color w:val="4472C4" w:themeColor="accent1"/>
          <w:sz w:val="20"/>
          <w:szCs w:val="20"/>
        </w:rPr>
        <w:t xml:space="preserve"> downlink cells </w:t>
      </w:r>
    </w:p>
    <w:p w14:paraId="36A81F2B" w14:textId="77777777" w:rsidR="00316EEE" w:rsidRPr="00D02893" w:rsidRDefault="00316EEE" w:rsidP="00CF49CD">
      <w:pPr>
        <w:pStyle w:val="B1"/>
        <w:numPr>
          <w:ilvl w:val="1"/>
          <w:numId w:val="34"/>
        </w:numPr>
        <w:overflowPunct/>
        <w:autoSpaceDE/>
        <w:autoSpaceDN/>
        <w:adjustRightInd/>
        <w:spacing w:after="180"/>
        <w:jc w:val="left"/>
        <w:textAlignment w:val="auto"/>
        <w:rPr>
          <w:rFonts w:ascii="Calibri" w:hAnsi="Calibri" w:cs="Calibri"/>
          <w:color w:val="4472C4" w:themeColor="accent1"/>
        </w:rPr>
      </w:pPr>
      <w:r w:rsidRPr="00D02893">
        <w:rPr>
          <w:rFonts w:ascii="Calibri" w:hAnsi="Calibri" w:cs="Calibri"/>
          <w:color w:val="4472C4" w:themeColor="accent1"/>
        </w:rPr>
        <w:t xml:space="preserve">more than </w:t>
      </w:r>
      <m:oMath>
        <m:func>
          <m:funcPr>
            <m:ctrlPr>
              <w:rPr>
                <w:rFonts w:ascii="Cambria Math" w:eastAsiaTheme="minorHAnsi" w:hAnsi="Cambria Math"/>
                <w:i/>
                <w:iCs/>
                <w:color w:val="4472C4" w:themeColor="accent1"/>
                <w:lang w:val="fi-FI"/>
              </w:rPr>
            </m:ctrlPr>
          </m:funcPr>
          <m:fName>
            <m:r>
              <w:rPr>
                <w:rFonts w:ascii="Cambria Math" w:hAnsi="Cambria Math"/>
                <w:color w:val="4472C4" w:themeColor="accent1"/>
                <w:lang w:val="x-none"/>
              </w:rPr>
              <m:t>min</m:t>
            </m:r>
          </m:fName>
          <m:e>
            <m:d>
              <m:dPr>
                <m:ctrlPr>
                  <w:rPr>
                    <w:rFonts w:ascii="Cambria Math" w:eastAsiaTheme="minorHAnsi" w:hAnsi="Cambria Math"/>
                    <w:i/>
                    <w:iCs/>
                    <w:color w:val="4472C4" w:themeColor="accent1"/>
                    <w:lang w:val="fi-FI"/>
                  </w:rPr>
                </m:ctrlPr>
              </m:dPr>
              <m:e>
                <m:sSubSup>
                  <m:sSubSupPr>
                    <m:ctrlPr>
                      <w:rPr>
                        <w:rFonts w:ascii="Cambria Math" w:eastAsiaTheme="minorHAnsi" w:hAnsi="Cambria Math"/>
                        <w:i/>
                        <w:iCs/>
                        <w:color w:val="4472C4" w:themeColor="accent1"/>
                        <w:lang w:val="fi-FI"/>
                      </w:rPr>
                    </m:ctrlPr>
                  </m:sSubSupPr>
                  <m:e>
                    <m:r>
                      <w:rPr>
                        <w:rFonts w:ascii="Cambria Math" w:hAnsi="Cambria Math"/>
                        <w:color w:val="4472C4" w:themeColor="accent1"/>
                        <w:lang w:val="x-none"/>
                      </w:rPr>
                      <m:t>γ∙M</m:t>
                    </m:r>
                  </m:e>
                  <m:sub>
                    <m:r>
                      <m:rPr>
                        <m:nor/>
                      </m:rPr>
                      <w:rPr>
                        <w:rFonts w:ascii="Calibri" w:hAnsi="Calibri" w:cs="Calibri"/>
                        <w:color w:val="4472C4" w:themeColor="accent1"/>
                        <w:lang w:val="x-none"/>
                      </w:rPr>
                      <m:t>PDCCH</m:t>
                    </m:r>
                    <m:ctrlPr>
                      <w:rPr>
                        <w:rFonts w:ascii="Cambria Math" w:eastAsiaTheme="minorHAnsi" w:hAnsi="Cambria Math"/>
                        <w:color w:val="4472C4" w:themeColor="accent1"/>
                        <w:lang w:val="fi-FI"/>
                      </w:rPr>
                    </m:ctrlPr>
                  </m:sub>
                  <m:sup>
                    <w:proofErr w:type="spellStart"/>
                    <m:r>
                      <m:rPr>
                        <m:nor/>
                      </m:rPr>
                      <w:rPr>
                        <w:rFonts w:ascii="Calibri" w:hAnsi="Calibri" w:cs="Calibri"/>
                        <w:color w:val="4472C4" w:themeColor="accent1"/>
                        <w:lang w:val="x-none"/>
                      </w:rPr>
                      <m:t>max,slot</m:t>
                    </m:r>
                    <w:proofErr w:type="spellEnd"/>
                    <m:r>
                      <m:rPr>
                        <m:nor/>
                      </m:rPr>
                      <w:rPr>
                        <w:rFonts w:ascii="Calibri" w:hAnsi="Calibri" w:cs="Calibri"/>
                        <w:color w:val="4472C4" w:themeColor="accent1"/>
                        <w:lang w:val="x-none"/>
                      </w:rPr>
                      <m:t>,</m:t>
                    </m:r>
                    <m:r>
                      <w:rPr>
                        <w:rFonts w:ascii="Cambria Math" w:hAnsi="Cambria Math"/>
                        <w:color w:val="4472C4" w:themeColor="accent1"/>
                        <w:lang w:val="x-none"/>
                      </w:rPr>
                      <m:t>μ</m:t>
                    </m:r>
                    <m:ctrlPr>
                      <w:rPr>
                        <w:rFonts w:ascii="Cambria Math" w:eastAsiaTheme="minorHAnsi" w:hAnsi="Cambria Math"/>
                        <w:color w:val="4472C4" w:themeColor="accent1"/>
                        <w:lang w:val="fi-FI"/>
                      </w:rPr>
                    </m:ctrlPr>
                  </m:sup>
                </m:sSubSup>
                <m:r>
                  <w:rPr>
                    <w:rFonts w:ascii="Cambria Math" w:hAnsi="Cambria Math"/>
                    <w:color w:val="4472C4" w:themeColor="accent1"/>
                    <w:lang w:val="x-none"/>
                  </w:rPr>
                  <m:t>,</m:t>
                </m:r>
                <m:sSubSup>
                  <m:sSubSupPr>
                    <m:ctrlPr>
                      <w:rPr>
                        <w:rFonts w:ascii="Cambria Math" w:eastAsiaTheme="minorHAnsi" w:hAnsi="Cambria Math"/>
                        <w:i/>
                        <w:iCs/>
                        <w:color w:val="4472C4" w:themeColor="accent1"/>
                        <w:lang w:val="fi-FI"/>
                      </w:rPr>
                    </m:ctrlPr>
                  </m:sSubSupPr>
                  <m:e>
                    <m:r>
                      <w:rPr>
                        <w:rFonts w:ascii="Cambria Math" w:hAnsi="Cambria Math"/>
                        <w:color w:val="4472C4" w:themeColor="accent1"/>
                        <w:lang w:val="x-none"/>
                      </w:rPr>
                      <m:t>M</m:t>
                    </m:r>
                  </m:e>
                  <m:sub>
                    <m:r>
                      <m:rPr>
                        <m:nor/>
                      </m:rPr>
                      <w:rPr>
                        <w:rFonts w:ascii="Calibri" w:hAnsi="Calibri" w:cs="Calibri"/>
                        <w:color w:val="4472C4" w:themeColor="accent1"/>
                        <w:lang w:val="x-none"/>
                      </w:rPr>
                      <m:t>PDCCH</m:t>
                    </m:r>
                    <m:ctrlPr>
                      <w:rPr>
                        <w:rFonts w:ascii="Cambria Math" w:eastAsiaTheme="minorHAnsi" w:hAnsi="Cambria Math"/>
                        <w:color w:val="4472C4" w:themeColor="accent1"/>
                        <w:lang w:val="fi-FI"/>
                      </w:rPr>
                    </m:ctrlPr>
                  </m:sub>
                  <m:sup>
                    <w:proofErr w:type="spellStart"/>
                    <m:r>
                      <m:rPr>
                        <m:nor/>
                      </m:rPr>
                      <w:rPr>
                        <w:rFonts w:ascii="Calibri" w:hAnsi="Calibri" w:cs="Calibri"/>
                        <w:color w:val="4472C4" w:themeColor="accent1"/>
                        <w:lang w:val="x-none"/>
                      </w:rPr>
                      <m:t>total,slot</m:t>
                    </m:r>
                    <w:proofErr w:type="spellEnd"/>
                    <m:r>
                      <m:rPr>
                        <m:nor/>
                      </m:rPr>
                      <w:rPr>
                        <w:rFonts w:ascii="Calibri" w:hAnsi="Calibri" w:cs="Calibri"/>
                        <w:color w:val="4472C4" w:themeColor="accent1"/>
                        <w:lang w:val="x-none"/>
                      </w:rPr>
                      <m:t>,</m:t>
                    </m:r>
                    <m:r>
                      <w:rPr>
                        <w:rFonts w:ascii="Cambria Math" w:hAnsi="Cambria Math"/>
                        <w:color w:val="4472C4" w:themeColor="accent1"/>
                        <w:lang w:val="x-none"/>
                      </w:rPr>
                      <m:t>μ</m:t>
                    </m:r>
                    <m:ctrlPr>
                      <w:rPr>
                        <w:rFonts w:ascii="Cambria Math" w:eastAsiaTheme="minorHAnsi" w:hAnsi="Cambria Math"/>
                        <w:color w:val="4472C4" w:themeColor="accent1"/>
                        <w:lang w:val="fi-FI"/>
                      </w:rPr>
                    </m:ctrlPr>
                  </m:sup>
                </m:sSubSup>
              </m:e>
            </m:d>
          </m:e>
        </m:func>
      </m:oMath>
      <w:r w:rsidRPr="00D02893">
        <w:rPr>
          <w:rFonts w:ascii="Calibri" w:hAnsi="Calibri" w:cs="Calibri"/>
          <w:color w:val="4472C4" w:themeColor="accent1"/>
          <w:lang w:val="x-none"/>
        </w:rPr>
        <w:t xml:space="preserve"> PDCCH candidates or more than </w:t>
      </w:r>
      <m:oMath>
        <m:func>
          <m:funcPr>
            <m:ctrlPr>
              <w:rPr>
                <w:rFonts w:ascii="Cambria Math" w:eastAsiaTheme="minorHAnsi" w:hAnsi="Cambria Math"/>
                <w:i/>
                <w:iCs/>
                <w:color w:val="4472C4" w:themeColor="accent1"/>
                <w:lang w:val="fi-FI"/>
              </w:rPr>
            </m:ctrlPr>
          </m:funcPr>
          <m:fName>
            <m:r>
              <w:rPr>
                <w:rFonts w:ascii="Cambria Math" w:hAnsi="Cambria Math"/>
                <w:color w:val="4472C4" w:themeColor="accent1"/>
                <w:lang w:val="x-none"/>
              </w:rPr>
              <m:t>min</m:t>
            </m:r>
          </m:fName>
          <m:e>
            <m:d>
              <m:dPr>
                <m:ctrlPr>
                  <w:rPr>
                    <w:rFonts w:ascii="Cambria Math" w:eastAsiaTheme="minorHAnsi" w:hAnsi="Cambria Math"/>
                    <w:i/>
                    <w:iCs/>
                    <w:color w:val="4472C4" w:themeColor="accent1"/>
                    <w:lang w:val="fi-FI"/>
                  </w:rPr>
                </m:ctrlPr>
              </m:dPr>
              <m:e>
                <m:sSubSup>
                  <m:sSubSupPr>
                    <m:ctrlPr>
                      <w:rPr>
                        <w:rFonts w:ascii="Cambria Math" w:eastAsiaTheme="minorHAnsi" w:hAnsi="Cambria Math"/>
                        <w:i/>
                        <w:iCs/>
                        <w:color w:val="4472C4" w:themeColor="accent1"/>
                        <w:lang w:val="fi-FI"/>
                      </w:rPr>
                    </m:ctrlPr>
                  </m:sSubSupPr>
                  <m:e>
                    <m:r>
                      <w:rPr>
                        <w:rFonts w:ascii="Cambria Math" w:hAnsi="Cambria Math"/>
                        <w:color w:val="4472C4" w:themeColor="accent1"/>
                        <w:lang w:val="x-none"/>
                      </w:rPr>
                      <m:t>γ∙C</m:t>
                    </m:r>
                  </m:e>
                  <m:sub>
                    <m:r>
                      <m:rPr>
                        <m:nor/>
                      </m:rPr>
                      <w:rPr>
                        <w:rFonts w:ascii="Calibri" w:hAnsi="Calibri" w:cs="Calibri"/>
                        <w:color w:val="4472C4" w:themeColor="accent1"/>
                        <w:lang w:val="x-none"/>
                      </w:rPr>
                      <m:t>PDCCH</m:t>
                    </m:r>
                    <m:ctrlPr>
                      <w:rPr>
                        <w:rFonts w:ascii="Cambria Math" w:eastAsiaTheme="minorHAnsi" w:hAnsi="Cambria Math"/>
                        <w:color w:val="4472C4" w:themeColor="accent1"/>
                        <w:lang w:val="fi-FI"/>
                      </w:rPr>
                    </m:ctrlPr>
                  </m:sub>
                  <m:sup>
                    <w:proofErr w:type="spellStart"/>
                    <m:r>
                      <m:rPr>
                        <m:nor/>
                      </m:rPr>
                      <w:rPr>
                        <w:rFonts w:ascii="Calibri" w:hAnsi="Calibri" w:cs="Calibri"/>
                        <w:color w:val="4472C4" w:themeColor="accent1"/>
                        <w:lang w:val="x-none"/>
                      </w:rPr>
                      <m:t>max,slot</m:t>
                    </m:r>
                    <w:proofErr w:type="spellEnd"/>
                    <m:r>
                      <m:rPr>
                        <m:nor/>
                      </m:rPr>
                      <w:rPr>
                        <w:rFonts w:ascii="Calibri" w:hAnsi="Calibri" w:cs="Calibri"/>
                        <w:color w:val="4472C4" w:themeColor="accent1"/>
                        <w:lang w:val="x-none"/>
                      </w:rPr>
                      <m:t>,</m:t>
                    </m:r>
                    <m:r>
                      <w:rPr>
                        <w:rFonts w:ascii="Cambria Math" w:hAnsi="Cambria Math"/>
                        <w:color w:val="4472C4" w:themeColor="accent1"/>
                        <w:lang w:val="x-none"/>
                      </w:rPr>
                      <m:t>μ</m:t>
                    </m:r>
                    <m:ctrlPr>
                      <w:rPr>
                        <w:rFonts w:ascii="Cambria Math" w:eastAsiaTheme="minorHAnsi" w:hAnsi="Cambria Math"/>
                        <w:color w:val="4472C4" w:themeColor="accent1"/>
                        <w:lang w:val="fi-FI"/>
                      </w:rPr>
                    </m:ctrlPr>
                  </m:sup>
                </m:sSubSup>
                <m:r>
                  <w:rPr>
                    <w:rFonts w:ascii="Cambria Math" w:hAnsi="Cambria Math"/>
                    <w:color w:val="4472C4" w:themeColor="accent1"/>
                    <w:lang w:val="x-none"/>
                  </w:rPr>
                  <m:t>,</m:t>
                </m:r>
                <m:sSubSup>
                  <m:sSubSupPr>
                    <m:ctrlPr>
                      <w:rPr>
                        <w:rFonts w:ascii="Cambria Math" w:eastAsiaTheme="minorHAnsi" w:hAnsi="Cambria Math"/>
                        <w:i/>
                        <w:iCs/>
                        <w:color w:val="4472C4" w:themeColor="accent1"/>
                        <w:lang w:val="fi-FI"/>
                      </w:rPr>
                    </m:ctrlPr>
                  </m:sSubSupPr>
                  <m:e>
                    <m:r>
                      <w:rPr>
                        <w:rFonts w:ascii="Cambria Math" w:hAnsi="Cambria Math"/>
                        <w:color w:val="4472C4" w:themeColor="accent1"/>
                        <w:lang w:val="x-none"/>
                      </w:rPr>
                      <m:t>C</m:t>
                    </m:r>
                  </m:e>
                  <m:sub>
                    <m:r>
                      <m:rPr>
                        <m:nor/>
                      </m:rPr>
                      <w:rPr>
                        <w:rFonts w:ascii="Calibri" w:hAnsi="Calibri" w:cs="Calibri"/>
                        <w:color w:val="4472C4" w:themeColor="accent1"/>
                        <w:lang w:val="x-none"/>
                      </w:rPr>
                      <m:t>PDCCH</m:t>
                    </m:r>
                    <m:ctrlPr>
                      <w:rPr>
                        <w:rFonts w:ascii="Cambria Math" w:eastAsiaTheme="minorHAnsi" w:hAnsi="Cambria Math"/>
                        <w:color w:val="4472C4" w:themeColor="accent1"/>
                        <w:lang w:val="fi-FI"/>
                      </w:rPr>
                    </m:ctrlPr>
                  </m:sub>
                  <m:sup>
                    <w:proofErr w:type="spellStart"/>
                    <m:r>
                      <m:rPr>
                        <m:nor/>
                      </m:rPr>
                      <w:rPr>
                        <w:rFonts w:ascii="Calibri" w:hAnsi="Calibri" w:cs="Calibri"/>
                        <w:color w:val="4472C4" w:themeColor="accent1"/>
                        <w:lang w:val="x-none"/>
                      </w:rPr>
                      <m:t>total,slot</m:t>
                    </m:r>
                    <w:proofErr w:type="spellEnd"/>
                    <m:r>
                      <m:rPr>
                        <m:nor/>
                      </m:rPr>
                      <w:rPr>
                        <w:rFonts w:ascii="Calibri" w:hAnsi="Calibri" w:cs="Calibri"/>
                        <w:color w:val="4472C4" w:themeColor="accent1"/>
                        <w:lang w:val="x-none"/>
                      </w:rPr>
                      <m:t>,</m:t>
                    </m:r>
                    <m:r>
                      <w:rPr>
                        <w:rFonts w:ascii="Cambria Math" w:hAnsi="Cambria Math"/>
                        <w:color w:val="4472C4" w:themeColor="accent1"/>
                        <w:lang w:val="x-none"/>
                      </w:rPr>
                      <m:t>μ</m:t>
                    </m:r>
                    <m:ctrlPr>
                      <w:rPr>
                        <w:rFonts w:ascii="Cambria Math" w:eastAsiaTheme="minorHAnsi" w:hAnsi="Cambria Math"/>
                        <w:color w:val="4472C4" w:themeColor="accent1"/>
                        <w:lang w:val="fi-FI"/>
                      </w:rPr>
                    </m:ctrlPr>
                  </m:sup>
                </m:sSubSup>
              </m:e>
            </m:d>
          </m:e>
        </m:func>
      </m:oMath>
      <w:r w:rsidRPr="00D02893">
        <w:rPr>
          <w:rFonts w:ascii="Calibri" w:hAnsi="Calibri" w:cs="Calibri"/>
          <w:color w:val="4472C4" w:themeColor="accent1"/>
          <w:lang w:val="fi-FI"/>
        </w:rPr>
        <w:t xml:space="preserve"> </w:t>
      </w:r>
      <w:r w:rsidRPr="00D02893">
        <w:rPr>
          <w:rFonts w:ascii="Calibri" w:hAnsi="Calibri" w:cs="Calibri"/>
          <w:color w:val="4472C4" w:themeColor="accent1"/>
          <w:lang w:val="x-none"/>
        </w:rPr>
        <w:t>non-overlapped CCEs per slot</w:t>
      </w:r>
    </w:p>
    <w:p w14:paraId="6AC0889D" w14:textId="77777777" w:rsidR="00316EEE" w:rsidRPr="00D02893" w:rsidRDefault="00316EEE" w:rsidP="00CF49CD">
      <w:pPr>
        <w:pStyle w:val="B1"/>
        <w:numPr>
          <w:ilvl w:val="1"/>
          <w:numId w:val="34"/>
        </w:numPr>
        <w:overflowPunct/>
        <w:autoSpaceDE/>
        <w:autoSpaceDN/>
        <w:adjustRightInd/>
        <w:spacing w:after="180"/>
        <w:jc w:val="left"/>
        <w:textAlignment w:val="auto"/>
        <w:rPr>
          <w:rFonts w:ascii="Calibri" w:hAnsi="Calibri" w:cs="Calibri"/>
          <w:color w:val="4472C4" w:themeColor="accent1"/>
        </w:rPr>
      </w:pPr>
      <w:r w:rsidRPr="00D02893">
        <w:rPr>
          <w:rFonts w:ascii="Calibri" w:hAnsi="Calibri" w:cs="Calibri"/>
          <w:color w:val="4472C4" w:themeColor="accent1"/>
        </w:rPr>
        <w:t xml:space="preserve">more than </w:t>
      </w:r>
      <m:oMath>
        <m:func>
          <m:funcPr>
            <m:ctrlPr>
              <w:rPr>
                <w:rFonts w:ascii="Cambria Math" w:eastAsiaTheme="minorHAnsi" w:hAnsi="Cambria Math"/>
                <w:i/>
                <w:iCs/>
                <w:color w:val="4472C4" w:themeColor="accent1"/>
                <w:lang w:val="fi-FI"/>
              </w:rPr>
            </m:ctrlPr>
          </m:funcPr>
          <m:fName>
            <m:r>
              <w:rPr>
                <w:rFonts w:ascii="Cambria Math" w:hAnsi="Cambria Math"/>
                <w:color w:val="4472C4" w:themeColor="accent1"/>
                <w:lang w:val="x-none"/>
              </w:rPr>
              <m:t>min</m:t>
            </m:r>
          </m:fName>
          <m:e>
            <m:d>
              <m:dPr>
                <m:ctrlPr>
                  <w:rPr>
                    <w:rFonts w:ascii="Cambria Math" w:eastAsiaTheme="minorHAnsi" w:hAnsi="Cambria Math"/>
                    <w:i/>
                    <w:iCs/>
                    <w:color w:val="4472C4" w:themeColor="accent1"/>
                    <w:lang w:val="fi-FI"/>
                  </w:rPr>
                </m:ctrlPr>
              </m:dPr>
              <m:e>
                <m:sSubSup>
                  <m:sSubSupPr>
                    <m:ctrlPr>
                      <w:rPr>
                        <w:rFonts w:ascii="Cambria Math" w:eastAsiaTheme="minorHAnsi" w:hAnsi="Cambria Math"/>
                        <w:i/>
                        <w:iCs/>
                        <w:color w:val="4472C4" w:themeColor="accent1"/>
                        <w:lang w:val="fi-FI"/>
                      </w:rPr>
                    </m:ctrlPr>
                  </m:sSubSupPr>
                  <m:e>
                    <m:r>
                      <w:rPr>
                        <w:rFonts w:ascii="Cambria Math" w:hAnsi="Cambria Math"/>
                        <w:color w:val="4472C4" w:themeColor="accent1"/>
                        <w:lang w:val="x-none"/>
                      </w:rPr>
                      <m:t>M</m:t>
                    </m:r>
                  </m:e>
                  <m:sub>
                    <m:r>
                      <m:rPr>
                        <m:nor/>
                      </m:rPr>
                      <w:rPr>
                        <w:rFonts w:ascii="Calibri" w:hAnsi="Calibri" w:cs="Calibri"/>
                        <w:color w:val="4472C4" w:themeColor="accent1"/>
                        <w:lang w:val="x-none"/>
                      </w:rPr>
                      <m:t>PDCCH</m:t>
                    </m:r>
                    <m:ctrlPr>
                      <w:rPr>
                        <w:rFonts w:ascii="Cambria Math" w:eastAsiaTheme="minorHAnsi" w:hAnsi="Cambria Math"/>
                        <w:color w:val="4472C4" w:themeColor="accent1"/>
                        <w:lang w:val="fi-FI"/>
                      </w:rPr>
                    </m:ctrlPr>
                  </m:sub>
                  <m:sup>
                    <w:proofErr w:type="spellStart"/>
                    <m:r>
                      <m:rPr>
                        <m:nor/>
                      </m:rPr>
                      <w:rPr>
                        <w:rFonts w:ascii="Calibri" w:hAnsi="Calibri" w:cs="Calibri"/>
                        <w:color w:val="4472C4" w:themeColor="accent1"/>
                        <w:lang w:val="x-none"/>
                      </w:rPr>
                      <m:t>max,slot</m:t>
                    </m:r>
                    <w:proofErr w:type="spellEnd"/>
                    <m:r>
                      <m:rPr>
                        <m:nor/>
                      </m:rPr>
                      <w:rPr>
                        <w:rFonts w:ascii="Calibri" w:hAnsi="Calibri" w:cs="Calibri"/>
                        <w:color w:val="4472C4" w:themeColor="accent1"/>
                        <w:lang w:val="x-none"/>
                      </w:rPr>
                      <m:t>,</m:t>
                    </m:r>
                    <m:r>
                      <w:rPr>
                        <w:rFonts w:ascii="Cambria Math" w:hAnsi="Cambria Math"/>
                        <w:color w:val="4472C4" w:themeColor="accent1"/>
                        <w:lang w:val="x-none"/>
                      </w:rPr>
                      <m:t>μ</m:t>
                    </m:r>
                    <m:ctrlPr>
                      <w:rPr>
                        <w:rFonts w:ascii="Cambria Math" w:eastAsiaTheme="minorHAnsi" w:hAnsi="Cambria Math"/>
                        <w:color w:val="4472C4" w:themeColor="accent1"/>
                        <w:lang w:val="fi-FI"/>
                      </w:rPr>
                    </m:ctrlPr>
                  </m:sup>
                </m:sSubSup>
                <m:r>
                  <w:rPr>
                    <w:rFonts w:ascii="Cambria Math" w:hAnsi="Cambria Math"/>
                    <w:color w:val="4472C4" w:themeColor="accent1"/>
                    <w:lang w:val="x-none"/>
                  </w:rPr>
                  <m:t>,</m:t>
                </m:r>
                <m:sSubSup>
                  <m:sSubSupPr>
                    <m:ctrlPr>
                      <w:rPr>
                        <w:rFonts w:ascii="Cambria Math" w:eastAsiaTheme="minorHAnsi" w:hAnsi="Cambria Math"/>
                        <w:i/>
                        <w:iCs/>
                        <w:color w:val="4472C4" w:themeColor="accent1"/>
                        <w:lang w:val="fi-FI"/>
                      </w:rPr>
                    </m:ctrlPr>
                  </m:sSubSupPr>
                  <m:e>
                    <m:r>
                      <w:rPr>
                        <w:rFonts w:ascii="Cambria Math" w:hAnsi="Cambria Math"/>
                        <w:color w:val="4472C4" w:themeColor="accent1"/>
                        <w:lang w:val="x-none"/>
                      </w:rPr>
                      <m:t>M</m:t>
                    </m:r>
                  </m:e>
                  <m:sub>
                    <m:r>
                      <m:rPr>
                        <m:nor/>
                      </m:rPr>
                      <w:rPr>
                        <w:rFonts w:ascii="Calibri" w:hAnsi="Calibri" w:cs="Calibri"/>
                        <w:color w:val="4472C4" w:themeColor="accent1"/>
                        <w:lang w:val="x-none"/>
                      </w:rPr>
                      <m:t>PDCCH</m:t>
                    </m:r>
                    <m:ctrlPr>
                      <w:rPr>
                        <w:rFonts w:ascii="Cambria Math" w:eastAsiaTheme="minorHAnsi" w:hAnsi="Cambria Math"/>
                        <w:color w:val="4472C4" w:themeColor="accent1"/>
                        <w:lang w:val="fi-FI"/>
                      </w:rPr>
                    </m:ctrlPr>
                  </m:sub>
                  <m:sup>
                    <w:proofErr w:type="spellStart"/>
                    <m:r>
                      <m:rPr>
                        <m:nor/>
                      </m:rPr>
                      <w:rPr>
                        <w:rFonts w:ascii="Calibri" w:hAnsi="Calibri" w:cs="Calibri"/>
                        <w:color w:val="4472C4" w:themeColor="accent1"/>
                        <w:lang w:val="x-none"/>
                      </w:rPr>
                      <m:t>total,slot</m:t>
                    </m:r>
                    <w:proofErr w:type="spellEnd"/>
                    <m:r>
                      <m:rPr>
                        <m:nor/>
                      </m:rPr>
                      <w:rPr>
                        <w:rFonts w:ascii="Calibri" w:hAnsi="Calibri" w:cs="Calibri"/>
                        <w:color w:val="4472C4" w:themeColor="accent1"/>
                        <w:lang w:val="x-none"/>
                      </w:rPr>
                      <m:t>,</m:t>
                    </m:r>
                    <m:r>
                      <w:rPr>
                        <w:rFonts w:ascii="Cambria Math" w:hAnsi="Cambria Math"/>
                        <w:color w:val="4472C4" w:themeColor="accent1"/>
                        <w:lang w:val="x-none"/>
                      </w:rPr>
                      <m:t>μ</m:t>
                    </m:r>
                    <m:ctrlPr>
                      <w:rPr>
                        <w:rFonts w:ascii="Cambria Math" w:eastAsiaTheme="minorHAnsi" w:hAnsi="Cambria Math"/>
                        <w:color w:val="4472C4" w:themeColor="accent1"/>
                        <w:lang w:val="fi-FI"/>
                      </w:rPr>
                    </m:ctrlPr>
                  </m:sup>
                </m:sSubSup>
              </m:e>
            </m:d>
          </m:e>
        </m:func>
      </m:oMath>
      <w:r w:rsidRPr="00D02893">
        <w:rPr>
          <w:rFonts w:ascii="Calibri" w:hAnsi="Calibri" w:cs="Calibri"/>
          <w:color w:val="4472C4" w:themeColor="accent1"/>
          <w:lang w:val="x-none"/>
        </w:rPr>
        <w:t xml:space="preserve"> PDCCH candidates or more than </w:t>
      </w:r>
      <m:oMath>
        <m:func>
          <m:funcPr>
            <m:ctrlPr>
              <w:rPr>
                <w:rFonts w:ascii="Cambria Math" w:eastAsiaTheme="minorHAnsi" w:hAnsi="Cambria Math"/>
                <w:i/>
                <w:iCs/>
                <w:color w:val="4472C4" w:themeColor="accent1"/>
                <w:lang w:val="fi-FI"/>
              </w:rPr>
            </m:ctrlPr>
          </m:funcPr>
          <m:fName>
            <m:r>
              <w:rPr>
                <w:rFonts w:ascii="Cambria Math" w:hAnsi="Cambria Math"/>
                <w:color w:val="4472C4" w:themeColor="accent1"/>
                <w:lang w:val="x-none"/>
              </w:rPr>
              <m:t>min</m:t>
            </m:r>
          </m:fName>
          <m:e>
            <m:d>
              <m:dPr>
                <m:ctrlPr>
                  <w:rPr>
                    <w:rFonts w:ascii="Cambria Math" w:eastAsiaTheme="minorHAnsi" w:hAnsi="Cambria Math"/>
                    <w:i/>
                    <w:iCs/>
                    <w:color w:val="4472C4" w:themeColor="accent1"/>
                    <w:lang w:val="fi-FI"/>
                  </w:rPr>
                </m:ctrlPr>
              </m:dPr>
              <m:e>
                <m:sSubSup>
                  <m:sSubSupPr>
                    <m:ctrlPr>
                      <w:rPr>
                        <w:rFonts w:ascii="Cambria Math" w:eastAsiaTheme="minorHAnsi" w:hAnsi="Cambria Math"/>
                        <w:i/>
                        <w:iCs/>
                        <w:color w:val="4472C4" w:themeColor="accent1"/>
                        <w:lang w:val="fi-FI"/>
                      </w:rPr>
                    </m:ctrlPr>
                  </m:sSubSupPr>
                  <m:e>
                    <m:r>
                      <w:rPr>
                        <w:rFonts w:ascii="Cambria Math" w:hAnsi="Cambria Math"/>
                        <w:color w:val="4472C4" w:themeColor="accent1"/>
                        <w:lang w:val="x-none"/>
                      </w:rPr>
                      <m:t>C</m:t>
                    </m:r>
                  </m:e>
                  <m:sub>
                    <m:r>
                      <m:rPr>
                        <m:nor/>
                      </m:rPr>
                      <w:rPr>
                        <w:rFonts w:ascii="Calibri" w:hAnsi="Calibri" w:cs="Calibri"/>
                        <w:color w:val="4472C4" w:themeColor="accent1"/>
                        <w:lang w:val="x-none"/>
                      </w:rPr>
                      <m:t>PDCCH</m:t>
                    </m:r>
                    <m:ctrlPr>
                      <w:rPr>
                        <w:rFonts w:ascii="Cambria Math" w:eastAsiaTheme="minorHAnsi" w:hAnsi="Cambria Math"/>
                        <w:color w:val="4472C4" w:themeColor="accent1"/>
                        <w:lang w:val="fi-FI"/>
                      </w:rPr>
                    </m:ctrlPr>
                  </m:sub>
                  <m:sup>
                    <w:proofErr w:type="spellStart"/>
                    <m:r>
                      <m:rPr>
                        <m:nor/>
                      </m:rPr>
                      <w:rPr>
                        <w:rFonts w:ascii="Calibri" w:hAnsi="Calibri" w:cs="Calibri"/>
                        <w:color w:val="4472C4" w:themeColor="accent1"/>
                        <w:lang w:val="x-none"/>
                      </w:rPr>
                      <m:t>max,slot</m:t>
                    </m:r>
                    <w:proofErr w:type="spellEnd"/>
                    <m:r>
                      <m:rPr>
                        <m:nor/>
                      </m:rPr>
                      <w:rPr>
                        <w:rFonts w:ascii="Calibri" w:hAnsi="Calibri" w:cs="Calibri"/>
                        <w:color w:val="4472C4" w:themeColor="accent1"/>
                        <w:lang w:val="x-none"/>
                      </w:rPr>
                      <m:t>,</m:t>
                    </m:r>
                    <m:r>
                      <w:rPr>
                        <w:rFonts w:ascii="Cambria Math" w:hAnsi="Cambria Math"/>
                        <w:color w:val="4472C4" w:themeColor="accent1"/>
                        <w:lang w:val="x-none"/>
                      </w:rPr>
                      <m:t>μ</m:t>
                    </m:r>
                    <m:ctrlPr>
                      <w:rPr>
                        <w:rFonts w:ascii="Cambria Math" w:eastAsiaTheme="minorHAnsi" w:hAnsi="Cambria Math"/>
                        <w:color w:val="4472C4" w:themeColor="accent1"/>
                        <w:lang w:val="fi-FI"/>
                      </w:rPr>
                    </m:ctrlPr>
                  </m:sup>
                </m:sSubSup>
                <m:r>
                  <w:rPr>
                    <w:rFonts w:ascii="Cambria Math" w:hAnsi="Cambria Math"/>
                    <w:color w:val="4472C4" w:themeColor="accent1"/>
                    <w:lang w:val="x-none"/>
                  </w:rPr>
                  <m:t>,</m:t>
                </m:r>
                <m:sSubSup>
                  <m:sSubSupPr>
                    <m:ctrlPr>
                      <w:rPr>
                        <w:rFonts w:ascii="Cambria Math" w:eastAsiaTheme="minorHAnsi" w:hAnsi="Cambria Math"/>
                        <w:i/>
                        <w:iCs/>
                        <w:color w:val="4472C4" w:themeColor="accent1"/>
                        <w:lang w:val="fi-FI"/>
                      </w:rPr>
                    </m:ctrlPr>
                  </m:sSubSupPr>
                  <m:e>
                    <m:r>
                      <w:rPr>
                        <w:rFonts w:ascii="Cambria Math" w:hAnsi="Cambria Math"/>
                        <w:color w:val="4472C4" w:themeColor="accent1"/>
                        <w:lang w:val="x-none"/>
                      </w:rPr>
                      <m:t>C</m:t>
                    </m:r>
                  </m:e>
                  <m:sub>
                    <m:r>
                      <m:rPr>
                        <m:nor/>
                      </m:rPr>
                      <w:rPr>
                        <w:rFonts w:ascii="Calibri" w:hAnsi="Calibri" w:cs="Calibri"/>
                        <w:color w:val="4472C4" w:themeColor="accent1"/>
                        <w:lang w:val="x-none"/>
                      </w:rPr>
                      <m:t>PDCCH</m:t>
                    </m:r>
                    <m:ctrlPr>
                      <w:rPr>
                        <w:rFonts w:ascii="Cambria Math" w:eastAsiaTheme="minorHAnsi" w:hAnsi="Cambria Math"/>
                        <w:color w:val="4472C4" w:themeColor="accent1"/>
                        <w:lang w:val="fi-FI"/>
                      </w:rPr>
                    </m:ctrlPr>
                  </m:sub>
                  <m:sup>
                    <w:proofErr w:type="spellStart"/>
                    <m:r>
                      <m:rPr>
                        <m:nor/>
                      </m:rPr>
                      <w:rPr>
                        <w:rFonts w:ascii="Calibri" w:hAnsi="Calibri" w:cs="Calibri"/>
                        <w:color w:val="4472C4" w:themeColor="accent1"/>
                        <w:lang w:val="x-none"/>
                      </w:rPr>
                      <m:t>total,slot</m:t>
                    </m:r>
                    <w:proofErr w:type="spellEnd"/>
                    <m:r>
                      <m:rPr>
                        <m:nor/>
                      </m:rPr>
                      <w:rPr>
                        <w:rFonts w:ascii="Calibri" w:hAnsi="Calibri" w:cs="Calibri"/>
                        <w:color w:val="4472C4" w:themeColor="accent1"/>
                        <w:lang w:val="x-none"/>
                      </w:rPr>
                      <m:t>,</m:t>
                    </m:r>
                    <m:r>
                      <w:rPr>
                        <w:rFonts w:ascii="Cambria Math" w:hAnsi="Cambria Math"/>
                        <w:color w:val="4472C4" w:themeColor="accent1"/>
                        <w:lang w:val="x-none"/>
                      </w:rPr>
                      <m:t>μ</m:t>
                    </m:r>
                    <m:ctrlPr>
                      <w:rPr>
                        <w:rFonts w:ascii="Cambria Math" w:eastAsiaTheme="minorHAnsi" w:hAnsi="Cambria Math"/>
                        <w:color w:val="4472C4" w:themeColor="accent1"/>
                        <w:lang w:val="fi-FI"/>
                      </w:rPr>
                    </m:ctrlPr>
                  </m:sup>
                </m:sSubSup>
              </m:e>
            </m:d>
          </m:e>
        </m:func>
      </m:oMath>
      <w:r w:rsidRPr="00D02893">
        <w:rPr>
          <w:rFonts w:ascii="Calibri" w:hAnsi="Calibri" w:cs="Calibri"/>
          <w:color w:val="4472C4" w:themeColor="accent1"/>
          <w:lang w:val="fi-FI"/>
        </w:rPr>
        <w:t xml:space="preserve"> </w:t>
      </w:r>
      <w:r w:rsidRPr="00D02893">
        <w:rPr>
          <w:rFonts w:ascii="Calibri" w:hAnsi="Calibri" w:cs="Calibri"/>
          <w:color w:val="4472C4" w:themeColor="accent1"/>
          <w:lang w:val="x-none"/>
        </w:rPr>
        <w:t xml:space="preserve">non-overlapped CCEs per slot </w:t>
      </w:r>
      <w:r w:rsidRPr="00D02893">
        <w:rPr>
          <w:rFonts w:ascii="Calibri" w:hAnsi="Calibri" w:cs="Calibri"/>
          <w:color w:val="4472C4" w:themeColor="accent1"/>
        </w:rPr>
        <w:t xml:space="preserve">for CORESETs with same </w:t>
      </w:r>
      <w:proofErr w:type="spellStart"/>
      <w:r w:rsidRPr="00D02893">
        <w:rPr>
          <w:rFonts w:ascii="Calibri" w:hAnsi="Calibri" w:cs="Calibri"/>
          <w:i/>
          <w:iCs/>
          <w:color w:val="4472C4" w:themeColor="accent1"/>
          <w:lang w:val="x-none"/>
        </w:rPr>
        <w:t>CORESETPoolIndex</w:t>
      </w:r>
      <w:proofErr w:type="spellEnd"/>
      <w:r w:rsidRPr="00D02893">
        <w:rPr>
          <w:rFonts w:ascii="Calibri" w:hAnsi="Calibri" w:cs="Calibri"/>
          <w:color w:val="4472C4" w:themeColor="accent1"/>
        </w:rPr>
        <w:t xml:space="preserve"> value</w:t>
      </w:r>
    </w:p>
    <w:p w14:paraId="7745E0A0" w14:textId="77777777" w:rsidR="00316EEE" w:rsidRPr="00D02893" w:rsidRDefault="00316EEE" w:rsidP="00CF49CD">
      <w:pPr>
        <w:rPr>
          <w:rFonts w:ascii="Calibri" w:hAnsi="Calibri" w:cs="Calibri"/>
          <w:color w:val="4472C4" w:themeColor="accent1"/>
        </w:rPr>
      </w:pPr>
      <w:r w:rsidRPr="00D02893">
        <w:rPr>
          <w:color w:val="4472C4" w:themeColor="accent1"/>
        </w:rPr>
        <w:t xml:space="preserve">where </w:t>
      </w:r>
      <m:oMath>
        <m:r>
          <w:rPr>
            <w:rFonts w:ascii="Cambria Math" w:hAnsi="Cambria Math"/>
            <w:color w:val="4472C4" w:themeColor="accent1"/>
          </w:rPr>
          <m:t>γ=1</m:t>
        </m:r>
      </m:oMath>
      <w:r w:rsidRPr="00D02893">
        <w:rPr>
          <w:color w:val="4472C4" w:themeColor="accent1"/>
        </w:rPr>
        <w:t xml:space="preserve"> if </w:t>
      </w:r>
      <w:proofErr w:type="spellStart"/>
      <w:r w:rsidRPr="00D02893">
        <w:rPr>
          <w:i/>
          <w:iCs/>
          <w:color w:val="4472C4" w:themeColor="accent1"/>
        </w:rPr>
        <w:t>BDFactor</w:t>
      </w:r>
      <w:proofErr w:type="spellEnd"/>
      <w:r w:rsidRPr="00D02893">
        <w:rPr>
          <w:color w:val="4472C4" w:themeColor="accent1"/>
        </w:rPr>
        <w:t xml:space="preserve"> is configured, and </w:t>
      </w:r>
      <m:oMath>
        <m:r>
          <w:rPr>
            <w:rFonts w:ascii="Cambria Math" w:hAnsi="Cambria Math"/>
            <w:color w:val="4472C4" w:themeColor="accent1"/>
          </w:rPr>
          <m:t>γ=R</m:t>
        </m:r>
      </m:oMath>
      <w:r w:rsidRPr="00D02893">
        <w:rPr>
          <w:color w:val="4472C4" w:themeColor="accent1"/>
        </w:rPr>
        <w:t xml:space="preserve"> otherwise.   From the above text in 38.213, </w:t>
      </w:r>
      <w:proofErr w:type="gramStart"/>
      <w:r w:rsidRPr="00D02893">
        <w:rPr>
          <w:color w:val="4472C4" w:themeColor="accent1"/>
        </w:rPr>
        <w:t>it is clear that the</w:t>
      </w:r>
      <w:proofErr w:type="gramEnd"/>
      <w:r w:rsidRPr="00D02893">
        <w:rPr>
          <w:color w:val="4472C4" w:themeColor="accent1"/>
        </w:rPr>
        <w:t xml:space="preserve"> same value of </w:t>
      </w:r>
      <m:oMath>
        <m:r>
          <w:rPr>
            <w:rFonts w:ascii="Cambria Math" w:hAnsi="Cambria Math"/>
            <w:color w:val="4472C4" w:themeColor="accent1"/>
          </w:rPr>
          <m:t>γ</m:t>
        </m:r>
      </m:oMath>
      <w:r w:rsidRPr="00D02893">
        <w:rPr>
          <w:color w:val="4472C4" w:themeColor="accent1"/>
        </w:rPr>
        <w:t xml:space="preserve"> should apply to all configured dow</w:t>
      </w:r>
      <w:proofErr w:type="spellStart"/>
      <w:r w:rsidRPr="00D02893">
        <w:rPr>
          <w:color w:val="4472C4" w:themeColor="accent1"/>
        </w:rPr>
        <w:t>nlink</w:t>
      </w:r>
      <w:proofErr w:type="spellEnd"/>
      <w:r w:rsidRPr="00D02893">
        <w:rPr>
          <w:color w:val="4472C4" w:themeColor="accent1"/>
        </w:rPr>
        <w:t xml:space="preserve"> cells.  If the parameter </w:t>
      </w:r>
      <w:proofErr w:type="spellStart"/>
      <w:r w:rsidRPr="00D02893">
        <w:rPr>
          <w:i/>
          <w:iCs/>
          <w:color w:val="4472C4" w:themeColor="accent1"/>
        </w:rPr>
        <w:t>BDFactor</w:t>
      </w:r>
      <w:proofErr w:type="spellEnd"/>
      <w:r w:rsidRPr="00D02893">
        <w:rPr>
          <w:color w:val="4472C4" w:themeColor="accent1"/>
        </w:rPr>
        <w:t xml:space="preserve"> is configured per cell, then the same value of </w:t>
      </w:r>
      <w:proofErr w:type="spellStart"/>
      <w:r w:rsidRPr="00D02893">
        <w:rPr>
          <w:i/>
          <w:iCs/>
          <w:color w:val="4472C4" w:themeColor="accent1"/>
        </w:rPr>
        <w:t>BDFactor</w:t>
      </w:r>
      <w:proofErr w:type="spellEnd"/>
      <w:r w:rsidRPr="00D02893">
        <w:rPr>
          <w:color w:val="4472C4" w:themeColor="accent1"/>
        </w:rPr>
        <w:t xml:space="preserve"> will have be configured per cell which adds to unnecessary </w:t>
      </w:r>
      <w:proofErr w:type="spellStart"/>
      <w:r w:rsidRPr="00D02893">
        <w:rPr>
          <w:color w:val="4472C4" w:themeColor="accent1"/>
        </w:rPr>
        <w:t>signaling</w:t>
      </w:r>
      <w:proofErr w:type="spellEnd"/>
      <w:r w:rsidRPr="00D02893">
        <w:rPr>
          <w:color w:val="4472C4" w:themeColor="accent1"/>
        </w:rPr>
        <w:t xml:space="preserve"> overhead.  Hence, we think it is more appropriate to configure </w:t>
      </w:r>
      <w:proofErr w:type="spellStart"/>
      <w:proofErr w:type="gramStart"/>
      <w:r w:rsidRPr="00D02893">
        <w:rPr>
          <w:i/>
          <w:iCs/>
          <w:color w:val="4472C4" w:themeColor="accent1"/>
        </w:rPr>
        <w:t>BDFactor</w:t>
      </w:r>
      <w:proofErr w:type="spellEnd"/>
      <w:r w:rsidRPr="00D02893">
        <w:rPr>
          <w:color w:val="4472C4" w:themeColor="accent1"/>
        </w:rPr>
        <w:t xml:space="preserve">  per</w:t>
      </w:r>
      <w:proofErr w:type="gramEnd"/>
      <w:r w:rsidRPr="00D02893">
        <w:rPr>
          <w:color w:val="4472C4" w:themeColor="accent1"/>
        </w:rPr>
        <w:t xml:space="preserve"> cell group, and propose the following response:</w:t>
      </w:r>
    </w:p>
    <w:p w14:paraId="4EC7420D" w14:textId="77777777" w:rsidR="00316EEE" w:rsidRDefault="00316EEE" w:rsidP="00CF49CD">
      <w:pPr>
        <w:rPr>
          <w:sz w:val="22"/>
          <w:szCs w:val="22"/>
        </w:rPr>
      </w:pPr>
    </w:p>
    <w:p w14:paraId="4D3DC42A" w14:textId="64149A2C" w:rsidR="00316EEE" w:rsidRDefault="00D02893" w:rsidP="00CF49CD">
      <w:r w:rsidRPr="0074188E">
        <w:rPr>
          <w:highlight w:val="yellow"/>
        </w:rPr>
        <w:t xml:space="preserve">Answer </w:t>
      </w:r>
      <w:proofErr w:type="gramStart"/>
      <w:r w:rsidRPr="0074188E">
        <w:rPr>
          <w:highlight w:val="yellow"/>
        </w:rPr>
        <w:t>2</w:t>
      </w:r>
      <w:r>
        <w:t xml:space="preserve">  </w:t>
      </w:r>
      <w:r w:rsidR="00316EEE">
        <w:rPr>
          <w:rFonts w:ascii="Arial" w:hAnsi="Arial" w:cs="Arial"/>
          <w:lang w:eastAsia="ko-KR"/>
        </w:rPr>
        <w:t>RAN</w:t>
      </w:r>
      <w:proofErr w:type="gramEnd"/>
      <w:r w:rsidR="00316EEE">
        <w:rPr>
          <w:rFonts w:ascii="Arial" w:hAnsi="Arial" w:cs="Arial"/>
          <w:lang w:eastAsia="ko-KR"/>
        </w:rPr>
        <w:t xml:space="preserve">1 would like to inform RAN2 that the parameter </w:t>
      </w:r>
      <w:proofErr w:type="spellStart"/>
      <w:r w:rsidR="00316EEE">
        <w:rPr>
          <w:rFonts w:ascii="Arial" w:hAnsi="Arial" w:cs="Arial"/>
          <w:lang w:eastAsia="ko-KR"/>
        </w:rPr>
        <w:t>BDFactor</w:t>
      </w:r>
      <w:proofErr w:type="spellEnd"/>
      <w:r w:rsidR="00316EEE">
        <w:rPr>
          <w:rFonts w:ascii="Arial" w:hAnsi="Arial" w:cs="Arial"/>
          <w:lang w:eastAsia="ko-KR"/>
        </w:rPr>
        <w:t xml:space="preserve"> should be configured per cell group (e.g. within IE </w:t>
      </w:r>
      <w:proofErr w:type="spellStart"/>
      <w:r w:rsidR="00316EEE">
        <w:rPr>
          <w:rFonts w:ascii="Arial" w:hAnsi="Arial" w:cs="Arial"/>
          <w:i/>
          <w:iCs/>
          <w:lang w:eastAsia="zh-CN"/>
        </w:rPr>
        <w:t>PhysicalCellGroupConfig</w:t>
      </w:r>
      <w:proofErr w:type="spellEnd"/>
      <w:r w:rsidR="00316EEE">
        <w:rPr>
          <w:rFonts w:ascii="Arial" w:hAnsi="Arial" w:cs="Arial"/>
          <w:lang w:eastAsia="ko-KR"/>
        </w:rPr>
        <w:t>).</w:t>
      </w:r>
    </w:p>
    <w:p w14:paraId="359AC445" w14:textId="032A2DEA" w:rsidR="00316EEE" w:rsidRDefault="00103695" w:rsidP="00D02893">
      <w:pPr>
        <w:pStyle w:val="Heading1"/>
      </w:pPr>
      <w:r>
        <w:t>3</w:t>
      </w:r>
      <w:r>
        <w:tab/>
      </w:r>
      <w:r w:rsidR="00D02893">
        <w:t xml:space="preserve">Question </w:t>
      </w:r>
      <w:r w:rsidR="00721940">
        <w:t>3</w:t>
      </w:r>
      <w:r w:rsidR="00D02893">
        <w:t xml:space="preserve"> </w:t>
      </w:r>
      <w:r>
        <w:t>mTRP repetition</w:t>
      </w:r>
    </w:p>
    <w:p w14:paraId="1162C0EE" w14:textId="77777777" w:rsidR="00721940" w:rsidRPr="00721940" w:rsidRDefault="00721940" w:rsidP="00CF49CD">
      <w:pPr>
        <w:pStyle w:val="Header"/>
        <w:jc w:val="both"/>
        <w:rPr>
          <w:rFonts w:cs="Arial"/>
          <w:b w:val="0"/>
          <w:bCs/>
          <w:lang w:eastAsia="ko-KR"/>
        </w:rPr>
      </w:pPr>
      <w:r w:rsidRPr="00721940">
        <w:rPr>
          <w:rFonts w:cs="Arial"/>
          <w:b w:val="0"/>
          <w:bCs/>
          <w:highlight w:val="yellow"/>
          <w:lang w:eastAsia="ko-KR"/>
        </w:rPr>
        <w:t>Question 3</w:t>
      </w:r>
      <w:r w:rsidRPr="00721940">
        <w:rPr>
          <w:rFonts w:cs="Arial"/>
          <w:b w:val="0"/>
          <w:bCs/>
          <w:lang w:eastAsia="ko-KR"/>
        </w:rPr>
        <w:t>. RAN2 asks RAN1 to inform RAN2 if repetition schemes 2a/2b/3 (fdmSchemeA, fdmSchemeB and tdmScheme) and scheme 4 (slotBased) are mutually exclusive in all UE configuration options, and to provide a reference which could be used in TS 38.331 for referencing about the configuration limitations for the repetition schemes.</w:t>
      </w:r>
    </w:p>
    <w:p w14:paraId="1490310C" w14:textId="77777777" w:rsidR="00721940" w:rsidRPr="00721940" w:rsidRDefault="00721940" w:rsidP="00CF49CD">
      <w:pPr>
        <w:pStyle w:val="Header"/>
        <w:jc w:val="both"/>
        <w:rPr>
          <w:rFonts w:cs="Arial"/>
          <w:b w:val="0"/>
          <w:bCs/>
          <w:color w:val="4472C4" w:themeColor="accent1"/>
          <w:lang w:eastAsia="ko-KR"/>
        </w:rPr>
      </w:pPr>
    </w:p>
    <w:p w14:paraId="7AB650E1" w14:textId="77777777" w:rsidR="00721940" w:rsidRPr="00721940" w:rsidRDefault="00721940" w:rsidP="00CF49CD">
      <w:pPr>
        <w:pStyle w:val="Header"/>
        <w:jc w:val="both"/>
        <w:rPr>
          <w:rFonts w:ascii="Calibri" w:hAnsi="Calibri" w:cs="Calibri"/>
          <w:b w:val="0"/>
          <w:bCs/>
          <w:color w:val="4472C4" w:themeColor="accent1"/>
          <w:lang w:eastAsia="ko-KR"/>
        </w:rPr>
      </w:pPr>
      <w:r w:rsidRPr="00721940">
        <w:rPr>
          <w:b w:val="0"/>
          <w:bCs/>
          <w:color w:val="4472C4" w:themeColor="accent1"/>
          <w:lang w:eastAsia="ko-KR"/>
        </w:rPr>
        <w:t>[</w:t>
      </w:r>
      <w:r w:rsidRPr="00721940">
        <w:rPr>
          <w:b w:val="0"/>
          <w:bCs/>
          <w:color w:val="4472C4" w:themeColor="accent1"/>
        </w:rPr>
        <w:t>Ericsson explanation</w:t>
      </w:r>
      <w:r w:rsidRPr="00721940">
        <w:rPr>
          <w:b w:val="0"/>
          <w:bCs/>
          <w:color w:val="4472C4" w:themeColor="accent1"/>
          <w:lang w:eastAsia="ko-KR"/>
        </w:rPr>
        <w:t xml:space="preserve">]  From RRC configuration perspective, repetition schemes 2a/2b/3 (fdmSchemeA, fdmSchemeB and tdmScheme) and scheme 4 (slotBased) are not mutually exclusive (i.e., the UE can be configured with both one of schemes 2a/2b/3 and scheme 4).  There are open issues still being discussed in RAN1 regarding whether dynamic switching between one of schemes 2a/2b/3 and scheme 4 is allowed or not.  Any applicable limitations and conditions on which repetition schemes can be used can be captured in Clause 5.1 of TS 38.214. </w:t>
      </w:r>
    </w:p>
    <w:p w14:paraId="3F49B86E" w14:textId="77777777" w:rsidR="00721940" w:rsidRDefault="00721940" w:rsidP="00CF49CD">
      <w:pPr>
        <w:pStyle w:val="Header"/>
        <w:jc w:val="both"/>
        <w:rPr>
          <w:rFonts w:cs="Arial"/>
          <w:sz w:val="22"/>
          <w:szCs w:val="22"/>
          <w:lang w:eastAsia="ko-KR"/>
        </w:rPr>
      </w:pPr>
    </w:p>
    <w:p w14:paraId="0A3534FF" w14:textId="7AD00AD6" w:rsidR="00721940" w:rsidRDefault="00721940" w:rsidP="00CF49CD">
      <w:pPr>
        <w:pStyle w:val="Header"/>
        <w:jc w:val="both"/>
        <w:rPr>
          <w:rFonts w:cs="Arial"/>
          <w:sz w:val="20"/>
          <w:lang w:eastAsia="ko-KR"/>
        </w:rPr>
      </w:pPr>
      <w:r w:rsidRPr="00E1727C">
        <w:rPr>
          <w:rFonts w:cs="Arial"/>
          <w:b w:val="0"/>
          <w:bCs/>
          <w:highlight w:val="yellow"/>
          <w:lang w:eastAsia="ko-KR"/>
        </w:rPr>
        <w:t>Answer 3</w:t>
      </w:r>
      <w:r>
        <w:rPr>
          <w:rFonts w:cs="Arial"/>
          <w:lang w:eastAsia="ko-KR"/>
        </w:rPr>
        <w:t xml:space="preserve">  </w:t>
      </w:r>
      <w:r w:rsidRPr="00721940">
        <w:rPr>
          <w:rFonts w:cs="Arial"/>
          <w:b w:val="0"/>
          <w:bCs/>
          <w:lang w:eastAsia="ko-KR"/>
        </w:rPr>
        <w:t>RAN1 would like to inform RAN2 that from RRC configuration perspective, repetition schemes 2a/2b/3 (fdmSchemeA, fdmSchemeB and tdmScheme) and scheme 4 (slotBased) are not mutually exclusive (i.e., the UE can be configured with both one of schemes 2a/2b/3 and scheme 4).  Any applicable limitations and conditions on which repetition schemes can be used can be c</w:t>
      </w:r>
      <w:bookmarkStart w:id="1" w:name="_GoBack"/>
      <w:bookmarkEnd w:id="1"/>
      <w:r w:rsidRPr="00721940">
        <w:rPr>
          <w:rFonts w:cs="Arial"/>
          <w:b w:val="0"/>
          <w:bCs/>
          <w:lang w:eastAsia="ko-KR"/>
        </w:rPr>
        <w:t>aptured in Clause 5.1 of TS 38.214.</w:t>
      </w:r>
      <w:r>
        <w:rPr>
          <w:rFonts w:cs="Arial"/>
          <w:lang w:eastAsia="ko-KR"/>
        </w:rPr>
        <w:t xml:space="preserve"> </w:t>
      </w:r>
    </w:p>
    <w:p w14:paraId="55B8BA15" w14:textId="6F2647A8" w:rsidR="00721940" w:rsidRDefault="00721940" w:rsidP="00721940"/>
    <w:p w14:paraId="2A97F29E" w14:textId="57A6442F" w:rsidR="00103695" w:rsidRDefault="00971567" w:rsidP="00971567">
      <w:pPr>
        <w:pStyle w:val="Heading1"/>
      </w:pPr>
      <w:r>
        <w:t>4</w:t>
      </w:r>
      <w:r>
        <w:tab/>
      </w:r>
      <w:r w:rsidR="00103695">
        <w:t>Question 4</w:t>
      </w:r>
      <w:r>
        <w:t xml:space="preserve"> SRS resources</w:t>
      </w:r>
    </w:p>
    <w:p w14:paraId="07C4FBC7" w14:textId="2092AB20" w:rsidR="00971567" w:rsidRDefault="00971567" w:rsidP="00CF49CD">
      <w:pPr>
        <w:pStyle w:val="Header"/>
        <w:rPr>
          <w:rFonts w:cs="Arial"/>
          <w:b w:val="0"/>
          <w:bCs/>
          <w:lang w:eastAsia="ko-KR"/>
        </w:rPr>
      </w:pPr>
      <w:r w:rsidRPr="00971567">
        <w:rPr>
          <w:rFonts w:cs="Arial"/>
          <w:b w:val="0"/>
          <w:bCs/>
          <w:highlight w:val="yellow"/>
          <w:lang w:eastAsia="ko-KR"/>
        </w:rPr>
        <w:t>Question 4.</w:t>
      </w:r>
      <w:r>
        <w:rPr>
          <w:rFonts w:cs="Arial"/>
          <w:b w:val="0"/>
          <w:bCs/>
          <w:lang w:eastAsia="ko-KR"/>
        </w:rPr>
        <w:t xml:space="preserve"> </w:t>
      </w:r>
      <w:r w:rsidRPr="00971567">
        <w:rPr>
          <w:rFonts w:cs="Arial"/>
          <w:b w:val="0"/>
          <w:bCs/>
          <w:lang w:eastAsia="ko-KR"/>
        </w:rPr>
        <w:t>RAN2 would like to ask RAN1 whether the intention is to activate per SRS resource set or per SRS resource. Further, if per SRS resource, whether RAN1 sees any issues in indicating spatial relation, potentially different, for more than one resource in one MAC CE in order to save overhead.</w:t>
      </w:r>
    </w:p>
    <w:p w14:paraId="35BB9B41" w14:textId="793FE207" w:rsidR="00971567" w:rsidRDefault="00971567" w:rsidP="00CF49CD">
      <w:pPr>
        <w:pStyle w:val="Header"/>
        <w:rPr>
          <w:rFonts w:cs="Arial"/>
          <w:b w:val="0"/>
          <w:bCs/>
          <w:lang w:eastAsia="ko-KR"/>
        </w:rPr>
      </w:pPr>
    </w:p>
    <w:p w14:paraId="22CF2972" w14:textId="0644A482" w:rsidR="00971567" w:rsidRPr="00971567" w:rsidRDefault="00971567" w:rsidP="00CF49CD">
      <w:pPr>
        <w:pStyle w:val="Header"/>
        <w:rPr>
          <w:rFonts w:cs="Arial"/>
          <w:b w:val="0"/>
          <w:bCs/>
          <w:lang w:eastAsia="ko-KR"/>
        </w:rPr>
      </w:pPr>
      <w:r w:rsidRPr="00971567">
        <w:rPr>
          <w:rFonts w:cs="Arial"/>
          <w:b w:val="0"/>
          <w:bCs/>
          <w:highlight w:val="yellow"/>
          <w:lang w:eastAsia="ko-KR"/>
        </w:rPr>
        <w:t>Answer 4</w:t>
      </w:r>
    </w:p>
    <w:p w14:paraId="2AFBA33D" w14:textId="77777777" w:rsidR="00971567" w:rsidRPr="00971567" w:rsidRDefault="00971567" w:rsidP="00CF49CD">
      <w:pPr>
        <w:pStyle w:val="Header"/>
        <w:widowControl/>
        <w:numPr>
          <w:ilvl w:val="0"/>
          <w:numId w:val="35"/>
        </w:numPr>
        <w:overflowPunct/>
        <w:autoSpaceDE/>
        <w:autoSpaceDN/>
        <w:adjustRightInd/>
        <w:textAlignment w:val="auto"/>
        <w:rPr>
          <w:rFonts w:cs="Arial"/>
          <w:b w:val="0"/>
          <w:bCs/>
          <w:lang w:eastAsia="ko-KR"/>
        </w:rPr>
      </w:pPr>
      <w:r w:rsidRPr="00971567">
        <w:rPr>
          <w:rFonts w:cs="Arial"/>
          <w:b w:val="0"/>
          <w:bCs/>
          <w:lang w:eastAsia="ko-KR"/>
        </w:rPr>
        <w:t xml:space="preserve">The intention is to activate per SRS resource. </w:t>
      </w:r>
    </w:p>
    <w:p w14:paraId="4CA31DBC" w14:textId="18D4990B" w:rsidR="00971567" w:rsidRPr="009D50DE" w:rsidRDefault="00971567" w:rsidP="00CF49CD">
      <w:pPr>
        <w:pStyle w:val="Header"/>
        <w:widowControl/>
        <w:numPr>
          <w:ilvl w:val="0"/>
          <w:numId w:val="35"/>
        </w:numPr>
        <w:overflowPunct/>
        <w:autoSpaceDE/>
        <w:autoSpaceDN/>
        <w:adjustRightInd/>
        <w:textAlignment w:val="auto"/>
        <w:rPr>
          <w:rFonts w:cs="Arial"/>
          <w:b w:val="0"/>
          <w:bCs/>
          <w:lang w:eastAsia="ko-KR"/>
        </w:rPr>
      </w:pPr>
      <w:r w:rsidRPr="00971567">
        <w:rPr>
          <w:rFonts w:cs="Arial"/>
          <w:b w:val="0"/>
          <w:bCs/>
          <w:lang w:eastAsia="ko-KR"/>
        </w:rPr>
        <w:t xml:space="preserve">RAN1 does not see any issue in indicating several, potentially different, spatial relations for more than one SRS resource. </w:t>
      </w:r>
    </w:p>
    <w:p w14:paraId="5F75F107" w14:textId="68E68CFB" w:rsidR="00262B7A" w:rsidRDefault="00262B7A" w:rsidP="00262B7A">
      <w:pPr>
        <w:pStyle w:val="Heading1"/>
      </w:pPr>
      <w:r>
        <w:t>5</w:t>
      </w:r>
      <w:r>
        <w:tab/>
        <w:t xml:space="preserve">Question 5 </w:t>
      </w:r>
      <w:r w:rsidR="009D50DE">
        <w:t>PUCCH</w:t>
      </w:r>
      <w:r>
        <w:t xml:space="preserve"> resources</w:t>
      </w:r>
    </w:p>
    <w:p w14:paraId="4AAC879D" w14:textId="46AB5E3F" w:rsidR="00262B7A" w:rsidRDefault="00262B7A" w:rsidP="00CF49CD">
      <w:pPr>
        <w:pStyle w:val="Header"/>
        <w:rPr>
          <w:rFonts w:cs="Arial"/>
          <w:b w:val="0"/>
          <w:bCs/>
          <w:lang w:eastAsia="ko-KR"/>
        </w:rPr>
      </w:pPr>
      <w:r w:rsidRPr="00971567">
        <w:rPr>
          <w:rFonts w:cs="Arial"/>
          <w:b w:val="0"/>
          <w:bCs/>
          <w:highlight w:val="yellow"/>
          <w:lang w:eastAsia="ko-KR"/>
        </w:rPr>
        <w:t xml:space="preserve">Question </w:t>
      </w:r>
      <w:r w:rsidR="009D50DE">
        <w:rPr>
          <w:rFonts w:cs="Arial"/>
          <w:b w:val="0"/>
          <w:bCs/>
          <w:highlight w:val="yellow"/>
          <w:lang w:eastAsia="ko-KR"/>
        </w:rPr>
        <w:t>5</w:t>
      </w:r>
      <w:r w:rsidRPr="00971567">
        <w:rPr>
          <w:rFonts w:cs="Arial"/>
          <w:b w:val="0"/>
          <w:bCs/>
          <w:highlight w:val="yellow"/>
          <w:lang w:eastAsia="ko-KR"/>
        </w:rPr>
        <w:t>.</w:t>
      </w:r>
      <w:r>
        <w:rPr>
          <w:rFonts w:cs="Arial"/>
          <w:b w:val="0"/>
          <w:bCs/>
          <w:lang w:eastAsia="ko-KR"/>
        </w:rPr>
        <w:t xml:space="preserve"> </w:t>
      </w:r>
      <w:r w:rsidR="009D50DE" w:rsidRPr="009D50DE">
        <w:rPr>
          <w:rFonts w:cs="Arial"/>
          <w:b w:val="0"/>
          <w:bCs/>
          <w:lang w:eastAsia="ko-KR"/>
        </w:rPr>
        <w:t>RAN2 asks RAN1 to provide values for maximum number of PUCCH resources in a PUCCH group and for maximum value of serving cells in per CC/BWP lists.</w:t>
      </w:r>
    </w:p>
    <w:p w14:paraId="57DB655B" w14:textId="77777777" w:rsidR="00262B7A" w:rsidRDefault="00262B7A" w:rsidP="00CF49CD">
      <w:pPr>
        <w:pStyle w:val="Header"/>
        <w:rPr>
          <w:rFonts w:cs="Arial"/>
          <w:b w:val="0"/>
          <w:bCs/>
          <w:lang w:eastAsia="ko-KR"/>
        </w:rPr>
      </w:pPr>
    </w:p>
    <w:p w14:paraId="16CC2D4D" w14:textId="058E83C1" w:rsidR="00262B7A" w:rsidRPr="00971567" w:rsidRDefault="00262B7A" w:rsidP="00CF49CD">
      <w:pPr>
        <w:pStyle w:val="Header"/>
        <w:rPr>
          <w:rFonts w:cs="Arial"/>
          <w:b w:val="0"/>
          <w:bCs/>
          <w:lang w:eastAsia="ko-KR"/>
        </w:rPr>
      </w:pPr>
      <w:r w:rsidRPr="00971567">
        <w:rPr>
          <w:rFonts w:cs="Arial"/>
          <w:b w:val="0"/>
          <w:bCs/>
          <w:highlight w:val="yellow"/>
          <w:lang w:eastAsia="ko-KR"/>
        </w:rPr>
        <w:lastRenderedPageBreak/>
        <w:t xml:space="preserve">Answer </w:t>
      </w:r>
      <w:r w:rsidR="009D50DE">
        <w:rPr>
          <w:rFonts w:cs="Arial"/>
          <w:b w:val="0"/>
          <w:bCs/>
          <w:lang w:eastAsia="ko-KR"/>
        </w:rPr>
        <w:t>5</w:t>
      </w:r>
    </w:p>
    <w:p w14:paraId="3952E65B" w14:textId="77777777" w:rsidR="009D50DE" w:rsidRPr="009D50DE" w:rsidRDefault="009D50DE" w:rsidP="00CF49CD">
      <w:pPr>
        <w:pStyle w:val="Header"/>
        <w:widowControl/>
        <w:numPr>
          <w:ilvl w:val="0"/>
          <w:numId w:val="35"/>
        </w:numPr>
        <w:overflowPunct/>
        <w:autoSpaceDE/>
        <w:autoSpaceDN/>
        <w:adjustRightInd/>
        <w:textAlignment w:val="auto"/>
        <w:rPr>
          <w:rFonts w:cs="Arial"/>
          <w:b w:val="0"/>
          <w:bCs/>
          <w:lang w:eastAsia="ko-KR"/>
        </w:rPr>
      </w:pPr>
      <w:r w:rsidRPr="009D50DE">
        <w:rPr>
          <w:rFonts w:cs="Arial"/>
          <w:b w:val="0"/>
          <w:bCs/>
          <w:lang w:eastAsia="ko-KR"/>
        </w:rPr>
        <w:t>The maximum number of PUCCH resources in a PUCCH group is 128 (maxNrofPUCCH-Resources)</w:t>
      </w:r>
    </w:p>
    <w:p w14:paraId="3C5C098D" w14:textId="77777777" w:rsidR="009D50DE" w:rsidRPr="009D50DE" w:rsidRDefault="009D50DE" w:rsidP="00CF49CD">
      <w:pPr>
        <w:pStyle w:val="Header"/>
        <w:widowControl/>
        <w:numPr>
          <w:ilvl w:val="0"/>
          <w:numId w:val="35"/>
        </w:numPr>
        <w:overflowPunct/>
        <w:autoSpaceDE/>
        <w:autoSpaceDN/>
        <w:adjustRightInd/>
        <w:textAlignment w:val="auto"/>
        <w:rPr>
          <w:rFonts w:cs="Arial"/>
          <w:b w:val="0"/>
          <w:bCs/>
          <w:lang w:eastAsia="ko-KR"/>
        </w:rPr>
      </w:pPr>
      <w:r w:rsidRPr="009D50DE">
        <w:rPr>
          <w:rFonts w:cs="Arial"/>
          <w:b w:val="0"/>
          <w:bCs/>
          <w:lang w:eastAsia="ko-KR"/>
        </w:rPr>
        <w:t>The maximum number of serving cells in a per CC/BWP list is 32 (maxNrofServingCells)</w:t>
      </w:r>
    </w:p>
    <w:p w14:paraId="31DF52BD" w14:textId="77777777" w:rsidR="00262B7A" w:rsidRPr="00971567" w:rsidRDefault="00262B7A" w:rsidP="00971567"/>
    <w:sectPr w:rsidR="00262B7A" w:rsidRPr="0097156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77070" w14:textId="77777777" w:rsidR="00412318" w:rsidRDefault="00412318">
      <w:r>
        <w:separator/>
      </w:r>
    </w:p>
  </w:endnote>
  <w:endnote w:type="continuationSeparator" w:id="0">
    <w:p w14:paraId="32550593" w14:textId="77777777" w:rsidR="00412318" w:rsidRDefault="00412318">
      <w:r>
        <w:continuationSeparator/>
      </w:r>
    </w:p>
  </w:endnote>
  <w:endnote w:type="continuationNotice" w:id="1">
    <w:p w14:paraId="26F05956" w14:textId="77777777" w:rsidR="00412318" w:rsidRDefault="004123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412318" w:rsidRDefault="004123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F8EEC" w14:textId="77777777" w:rsidR="00412318" w:rsidRDefault="00412318">
      <w:r>
        <w:separator/>
      </w:r>
    </w:p>
  </w:footnote>
  <w:footnote w:type="continuationSeparator" w:id="0">
    <w:p w14:paraId="461884F0" w14:textId="77777777" w:rsidR="00412318" w:rsidRDefault="00412318">
      <w:r>
        <w:continuationSeparator/>
      </w:r>
    </w:p>
  </w:footnote>
  <w:footnote w:type="continuationNotice" w:id="1">
    <w:p w14:paraId="5C606E3C" w14:textId="77777777" w:rsidR="00412318" w:rsidRDefault="004123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412318" w:rsidRDefault="004123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8834A5"/>
    <w:multiLevelType w:val="hybridMultilevel"/>
    <w:tmpl w:val="CF9AFB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6467917"/>
    <w:multiLevelType w:val="hybridMultilevel"/>
    <w:tmpl w:val="8216E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C515E7D"/>
    <w:multiLevelType w:val="hybridMultilevel"/>
    <w:tmpl w:val="51C8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4808CF"/>
    <w:multiLevelType w:val="hybridMultilevel"/>
    <w:tmpl w:val="470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AF635B"/>
    <w:multiLevelType w:val="hybridMultilevel"/>
    <w:tmpl w:val="AB8CB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49418C"/>
    <w:multiLevelType w:val="hybridMultilevel"/>
    <w:tmpl w:val="E42E37A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AD91116"/>
    <w:multiLevelType w:val="hybridMultilevel"/>
    <w:tmpl w:val="7A128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99603E"/>
    <w:multiLevelType w:val="hybridMultilevel"/>
    <w:tmpl w:val="D4CC1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531156"/>
    <w:multiLevelType w:val="hybridMultilevel"/>
    <w:tmpl w:val="6D4A1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8"/>
  </w:num>
  <w:num w:numId="4">
    <w:abstractNumId w:val="19"/>
  </w:num>
  <w:num w:numId="5">
    <w:abstractNumId w:val="13"/>
  </w:num>
  <w:num w:numId="6">
    <w:abstractNumId w:val="21"/>
  </w:num>
  <w:num w:numId="7">
    <w:abstractNumId w:val="28"/>
  </w:num>
  <w:num w:numId="8">
    <w:abstractNumId w:val="14"/>
  </w:num>
  <w:num w:numId="9">
    <w:abstractNumId w:val="10"/>
  </w:num>
  <w:num w:numId="10">
    <w:abstractNumId w:val="2"/>
  </w:num>
  <w:num w:numId="11">
    <w:abstractNumId w:val="1"/>
  </w:num>
  <w:num w:numId="12">
    <w:abstractNumId w:val="0"/>
  </w:num>
  <w:num w:numId="13">
    <w:abstractNumId w:val="26"/>
  </w:num>
  <w:num w:numId="14">
    <w:abstractNumId w:val="27"/>
  </w:num>
  <w:num w:numId="15">
    <w:abstractNumId w:val="20"/>
  </w:num>
  <w:num w:numId="16">
    <w:abstractNumId w:val="31"/>
  </w:num>
  <w:num w:numId="17">
    <w:abstractNumId w:val="5"/>
  </w:num>
  <w:num w:numId="18">
    <w:abstractNumId w:val="9"/>
  </w:num>
  <w:num w:numId="19">
    <w:abstractNumId w:val="4"/>
  </w:num>
  <w:num w:numId="20">
    <w:abstractNumId w:val="35"/>
  </w:num>
  <w:num w:numId="21">
    <w:abstractNumId w:val="15"/>
  </w:num>
  <w:num w:numId="22">
    <w:abstractNumId w:val="33"/>
  </w:num>
  <w:num w:numId="23">
    <w:abstractNumId w:val="23"/>
  </w:num>
  <w:num w:numId="24">
    <w:abstractNumId w:val="17"/>
  </w:num>
  <w:num w:numId="25">
    <w:abstractNumId w:val="32"/>
  </w:num>
  <w:num w:numId="26">
    <w:abstractNumId w:val="36"/>
  </w:num>
  <w:num w:numId="27">
    <w:abstractNumId w:val="16"/>
  </w:num>
  <w:num w:numId="28">
    <w:abstractNumId w:val="12"/>
  </w:num>
  <w:num w:numId="29">
    <w:abstractNumId w:val="11"/>
  </w:num>
  <w:num w:numId="30">
    <w:abstractNumId w:val="6"/>
  </w:num>
  <w:num w:numId="31">
    <w:abstractNumId w:val="34"/>
  </w:num>
  <w:num w:numId="32">
    <w:abstractNumId w:val="30"/>
  </w:num>
  <w:num w:numId="33">
    <w:abstractNumId w:val="22"/>
  </w:num>
  <w:num w:numId="34">
    <w:abstractNumId w:val="29"/>
  </w:num>
  <w:num w:numId="35">
    <w:abstractNumId w:val="7"/>
  </w:num>
  <w:num w:numId="36">
    <w:abstractNumId w:val="25"/>
  </w:num>
  <w:num w:numId="37">
    <w:abstractNumId w:val="25"/>
  </w:num>
  <w:num w:numId="38">
    <w:abstractNumId w:val="37"/>
  </w:num>
  <w:num w:numId="3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AA"/>
    <w:rsid w:val="000006E1"/>
    <w:rsid w:val="00002A37"/>
    <w:rsid w:val="0000564C"/>
    <w:rsid w:val="00006446"/>
    <w:rsid w:val="00006896"/>
    <w:rsid w:val="00007CDC"/>
    <w:rsid w:val="00011B28"/>
    <w:rsid w:val="00015D15"/>
    <w:rsid w:val="00022D87"/>
    <w:rsid w:val="0002564D"/>
    <w:rsid w:val="00025ECA"/>
    <w:rsid w:val="000325B8"/>
    <w:rsid w:val="00034C15"/>
    <w:rsid w:val="00036BA1"/>
    <w:rsid w:val="000422E2"/>
    <w:rsid w:val="00042F22"/>
    <w:rsid w:val="000444EF"/>
    <w:rsid w:val="00052A07"/>
    <w:rsid w:val="000534E3"/>
    <w:rsid w:val="0005606A"/>
    <w:rsid w:val="00056AE5"/>
    <w:rsid w:val="00057117"/>
    <w:rsid w:val="000616E7"/>
    <w:rsid w:val="0006487E"/>
    <w:rsid w:val="00065E1A"/>
    <w:rsid w:val="00077E5F"/>
    <w:rsid w:val="0008036A"/>
    <w:rsid w:val="00081AE6"/>
    <w:rsid w:val="000855EB"/>
    <w:rsid w:val="00085B52"/>
    <w:rsid w:val="000866F2"/>
    <w:rsid w:val="0008795E"/>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3695"/>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1884"/>
    <w:rsid w:val="001B5A5D"/>
    <w:rsid w:val="001C1CE5"/>
    <w:rsid w:val="001C3D2A"/>
    <w:rsid w:val="001D51BA"/>
    <w:rsid w:val="001D53E7"/>
    <w:rsid w:val="001D5A45"/>
    <w:rsid w:val="001D6342"/>
    <w:rsid w:val="001D6D53"/>
    <w:rsid w:val="001E2C05"/>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632"/>
    <w:rsid w:val="00235872"/>
    <w:rsid w:val="00241559"/>
    <w:rsid w:val="002435B3"/>
    <w:rsid w:val="002458EB"/>
    <w:rsid w:val="002500C8"/>
    <w:rsid w:val="00257543"/>
    <w:rsid w:val="002617E7"/>
    <w:rsid w:val="00262B7A"/>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39E"/>
    <w:rsid w:val="002907B5"/>
    <w:rsid w:val="00292EB7"/>
    <w:rsid w:val="00296227"/>
    <w:rsid w:val="00296F44"/>
    <w:rsid w:val="0029777D"/>
    <w:rsid w:val="002A055E"/>
    <w:rsid w:val="002A1D4E"/>
    <w:rsid w:val="002A2869"/>
    <w:rsid w:val="002B24D6"/>
    <w:rsid w:val="002B7887"/>
    <w:rsid w:val="002C41E6"/>
    <w:rsid w:val="002D071A"/>
    <w:rsid w:val="002D34B2"/>
    <w:rsid w:val="002D423E"/>
    <w:rsid w:val="002D48B0"/>
    <w:rsid w:val="002D5B37"/>
    <w:rsid w:val="002D638E"/>
    <w:rsid w:val="002D7637"/>
    <w:rsid w:val="002E14FF"/>
    <w:rsid w:val="002E17F2"/>
    <w:rsid w:val="002E496C"/>
    <w:rsid w:val="002E7CAE"/>
    <w:rsid w:val="002F13E4"/>
    <w:rsid w:val="002F2771"/>
    <w:rsid w:val="002F37A9"/>
    <w:rsid w:val="00301CE6"/>
    <w:rsid w:val="0030256B"/>
    <w:rsid w:val="0030501F"/>
    <w:rsid w:val="00307BA1"/>
    <w:rsid w:val="00311702"/>
    <w:rsid w:val="00311E82"/>
    <w:rsid w:val="00312669"/>
    <w:rsid w:val="00313040"/>
    <w:rsid w:val="00313FD6"/>
    <w:rsid w:val="003143BD"/>
    <w:rsid w:val="00315363"/>
    <w:rsid w:val="00316EEE"/>
    <w:rsid w:val="003203ED"/>
    <w:rsid w:val="00322C9F"/>
    <w:rsid w:val="00324D23"/>
    <w:rsid w:val="00326FA9"/>
    <w:rsid w:val="00331751"/>
    <w:rsid w:val="003327C8"/>
    <w:rsid w:val="00334579"/>
    <w:rsid w:val="00335858"/>
    <w:rsid w:val="00336BDA"/>
    <w:rsid w:val="00342BD7"/>
    <w:rsid w:val="00343F9E"/>
    <w:rsid w:val="00346DB5"/>
    <w:rsid w:val="003477B1"/>
    <w:rsid w:val="00353960"/>
    <w:rsid w:val="00357380"/>
    <w:rsid w:val="003602D9"/>
    <w:rsid w:val="003604CE"/>
    <w:rsid w:val="0036170F"/>
    <w:rsid w:val="00370E47"/>
    <w:rsid w:val="003742AC"/>
    <w:rsid w:val="003761A1"/>
    <w:rsid w:val="00377CE1"/>
    <w:rsid w:val="00385BF0"/>
    <w:rsid w:val="003939FF"/>
    <w:rsid w:val="00394F9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6CBB"/>
    <w:rsid w:val="003E74E3"/>
    <w:rsid w:val="003F05C7"/>
    <w:rsid w:val="003F2CD4"/>
    <w:rsid w:val="003F6BBE"/>
    <w:rsid w:val="004000E8"/>
    <w:rsid w:val="00400909"/>
    <w:rsid w:val="00402E2B"/>
    <w:rsid w:val="0040408F"/>
    <w:rsid w:val="0040512B"/>
    <w:rsid w:val="00405CA5"/>
    <w:rsid w:val="00407CD3"/>
    <w:rsid w:val="00410134"/>
    <w:rsid w:val="00410B72"/>
    <w:rsid w:val="00410F18"/>
    <w:rsid w:val="00412318"/>
    <w:rsid w:val="0041263E"/>
    <w:rsid w:val="00413AAC"/>
    <w:rsid w:val="00413E92"/>
    <w:rsid w:val="00421105"/>
    <w:rsid w:val="00422AA4"/>
    <w:rsid w:val="004242F4"/>
    <w:rsid w:val="00427248"/>
    <w:rsid w:val="00433531"/>
    <w:rsid w:val="00437447"/>
    <w:rsid w:val="00441A92"/>
    <w:rsid w:val="004431DC"/>
    <w:rsid w:val="00444F56"/>
    <w:rsid w:val="00446488"/>
    <w:rsid w:val="004517AA"/>
    <w:rsid w:val="00452CAC"/>
    <w:rsid w:val="00457565"/>
    <w:rsid w:val="00457B71"/>
    <w:rsid w:val="00464689"/>
    <w:rsid w:val="004669E2"/>
    <w:rsid w:val="00467F8E"/>
    <w:rsid w:val="00470C31"/>
    <w:rsid w:val="00471DE0"/>
    <w:rsid w:val="004734D0"/>
    <w:rsid w:val="0047556B"/>
    <w:rsid w:val="00477768"/>
    <w:rsid w:val="00483B1C"/>
    <w:rsid w:val="00484608"/>
    <w:rsid w:val="00490BD5"/>
    <w:rsid w:val="00492BC5"/>
    <w:rsid w:val="004964F1"/>
    <w:rsid w:val="004A16BC"/>
    <w:rsid w:val="004A2B94"/>
    <w:rsid w:val="004B6F6A"/>
    <w:rsid w:val="004B7C0C"/>
    <w:rsid w:val="004C3898"/>
    <w:rsid w:val="004D3578"/>
    <w:rsid w:val="004D36B1"/>
    <w:rsid w:val="004D5A05"/>
    <w:rsid w:val="004D7EBD"/>
    <w:rsid w:val="004E2680"/>
    <w:rsid w:val="004E28F9"/>
    <w:rsid w:val="004E2957"/>
    <w:rsid w:val="004E462E"/>
    <w:rsid w:val="004E56DC"/>
    <w:rsid w:val="004E76F4"/>
    <w:rsid w:val="004F0B4E"/>
    <w:rsid w:val="004F0B6C"/>
    <w:rsid w:val="004F1029"/>
    <w:rsid w:val="004F2078"/>
    <w:rsid w:val="004F4DA3"/>
    <w:rsid w:val="00506557"/>
    <w:rsid w:val="0050677A"/>
    <w:rsid w:val="005108D8"/>
    <w:rsid w:val="005116F9"/>
    <w:rsid w:val="005153A7"/>
    <w:rsid w:val="005219CF"/>
    <w:rsid w:val="00534B59"/>
    <w:rsid w:val="0053575A"/>
    <w:rsid w:val="00536759"/>
    <w:rsid w:val="00537C62"/>
    <w:rsid w:val="00546970"/>
    <w:rsid w:val="00554E19"/>
    <w:rsid w:val="0056121F"/>
    <w:rsid w:val="005631E0"/>
    <w:rsid w:val="00572505"/>
    <w:rsid w:val="00582809"/>
    <w:rsid w:val="0058386C"/>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C7FE6"/>
    <w:rsid w:val="005D0294"/>
    <w:rsid w:val="005D1602"/>
    <w:rsid w:val="005D26AA"/>
    <w:rsid w:val="005E385F"/>
    <w:rsid w:val="005E5B81"/>
    <w:rsid w:val="005F2CB1"/>
    <w:rsid w:val="005F3025"/>
    <w:rsid w:val="005F618C"/>
    <w:rsid w:val="005F70BD"/>
    <w:rsid w:val="0060283C"/>
    <w:rsid w:val="00604F14"/>
    <w:rsid w:val="00611B83"/>
    <w:rsid w:val="00613257"/>
    <w:rsid w:val="00620A71"/>
    <w:rsid w:val="00620B3C"/>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E1"/>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450"/>
    <w:rsid w:val="006B50CF"/>
    <w:rsid w:val="006B6DB6"/>
    <w:rsid w:val="006C03B8"/>
    <w:rsid w:val="006C325B"/>
    <w:rsid w:val="006C5EC9"/>
    <w:rsid w:val="006C6059"/>
    <w:rsid w:val="006C7522"/>
    <w:rsid w:val="006D6F08"/>
    <w:rsid w:val="006D7B1E"/>
    <w:rsid w:val="006E062C"/>
    <w:rsid w:val="006E1149"/>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940"/>
    <w:rsid w:val="007257D0"/>
    <w:rsid w:val="00726EA6"/>
    <w:rsid w:val="00727208"/>
    <w:rsid w:val="00727680"/>
    <w:rsid w:val="00730AEC"/>
    <w:rsid w:val="007332B3"/>
    <w:rsid w:val="007348B1"/>
    <w:rsid w:val="007362A6"/>
    <w:rsid w:val="00736D7D"/>
    <w:rsid w:val="00740E58"/>
    <w:rsid w:val="0074188E"/>
    <w:rsid w:val="007445A0"/>
    <w:rsid w:val="0074524B"/>
    <w:rsid w:val="00747D8B"/>
    <w:rsid w:val="00751228"/>
    <w:rsid w:val="007571E1"/>
    <w:rsid w:val="007604B2"/>
    <w:rsid w:val="00763DEE"/>
    <w:rsid w:val="00765281"/>
    <w:rsid w:val="00766BAD"/>
    <w:rsid w:val="007729A2"/>
    <w:rsid w:val="007755F2"/>
    <w:rsid w:val="00776971"/>
    <w:rsid w:val="00780A80"/>
    <w:rsid w:val="0078177E"/>
    <w:rsid w:val="0078304C"/>
    <w:rsid w:val="00783673"/>
    <w:rsid w:val="00785490"/>
    <w:rsid w:val="00792299"/>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469"/>
    <w:rsid w:val="007F6C30"/>
    <w:rsid w:val="00803FAE"/>
    <w:rsid w:val="0080605F"/>
    <w:rsid w:val="00807786"/>
    <w:rsid w:val="00810196"/>
    <w:rsid w:val="00811E53"/>
    <w:rsid w:val="00811FCB"/>
    <w:rsid w:val="008158D6"/>
    <w:rsid w:val="00817196"/>
    <w:rsid w:val="0082149F"/>
    <w:rsid w:val="008230AB"/>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49E4"/>
    <w:rsid w:val="008D6D1A"/>
    <w:rsid w:val="008E065E"/>
    <w:rsid w:val="008E0927"/>
    <w:rsid w:val="008E1909"/>
    <w:rsid w:val="008F1C4E"/>
    <w:rsid w:val="008F1EAB"/>
    <w:rsid w:val="008F33DC"/>
    <w:rsid w:val="008F477F"/>
    <w:rsid w:val="00902350"/>
    <w:rsid w:val="0090336B"/>
    <w:rsid w:val="009050D5"/>
    <w:rsid w:val="009053AA"/>
    <w:rsid w:val="00906939"/>
    <w:rsid w:val="00910B7D"/>
    <w:rsid w:val="00911DFB"/>
    <w:rsid w:val="009139D9"/>
    <w:rsid w:val="00914AD8"/>
    <w:rsid w:val="00916079"/>
    <w:rsid w:val="009165BA"/>
    <w:rsid w:val="00917CE9"/>
    <w:rsid w:val="00920BF2"/>
    <w:rsid w:val="00922010"/>
    <w:rsid w:val="00931BD9"/>
    <w:rsid w:val="009368F3"/>
    <w:rsid w:val="00941636"/>
    <w:rsid w:val="00943742"/>
    <w:rsid w:val="00943E78"/>
    <w:rsid w:val="009443F0"/>
    <w:rsid w:val="0094495D"/>
    <w:rsid w:val="00945C05"/>
    <w:rsid w:val="00946945"/>
    <w:rsid w:val="00947713"/>
    <w:rsid w:val="00950DE7"/>
    <w:rsid w:val="00953920"/>
    <w:rsid w:val="00953D47"/>
    <w:rsid w:val="0095681E"/>
    <w:rsid w:val="009572D4"/>
    <w:rsid w:val="00961921"/>
    <w:rsid w:val="0096430A"/>
    <w:rsid w:val="0096554B"/>
    <w:rsid w:val="0096584A"/>
    <w:rsid w:val="00971567"/>
    <w:rsid w:val="00971F08"/>
    <w:rsid w:val="009725CC"/>
    <w:rsid w:val="0097603D"/>
    <w:rsid w:val="00976949"/>
    <w:rsid w:val="00980477"/>
    <w:rsid w:val="00985253"/>
    <w:rsid w:val="009853B3"/>
    <w:rsid w:val="00986616"/>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50DE"/>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370E0"/>
    <w:rsid w:val="00A41E2B"/>
    <w:rsid w:val="00A45B74"/>
    <w:rsid w:val="00A52E1D"/>
    <w:rsid w:val="00A61499"/>
    <w:rsid w:val="00A61783"/>
    <w:rsid w:val="00A62A77"/>
    <w:rsid w:val="00A63483"/>
    <w:rsid w:val="00A657D7"/>
    <w:rsid w:val="00A65ED5"/>
    <w:rsid w:val="00A660AC"/>
    <w:rsid w:val="00A67E6C"/>
    <w:rsid w:val="00A71B99"/>
    <w:rsid w:val="00A739D0"/>
    <w:rsid w:val="00A761D4"/>
    <w:rsid w:val="00A76564"/>
    <w:rsid w:val="00A77EC4"/>
    <w:rsid w:val="00A857F5"/>
    <w:rsid w:val="00A92879"/>
    <w:rsid w:val="00A93B4C"/>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3745"/>
    <w:rsid w:val="00AE40E0"/>
    <w:rsid w:val="00AE4DBA"/>
    <w:rsid w:val="00AE4F07"/>
    <w:rsid w:val="00AE5732"/>
    <w:rsid w:val="00AF1C5D"/>
    <w:rsid w:val="00AF42D7"/>
    <w:rsid w:val="00B006FE"/>
    <w:rsid w:val="00B007CB"/>
    <w:rsid w:val="00B02AA9"/>
    <w:rsid w:val="00B02FA3"/>
    <w:rsid w:val="00B04C55"/>
    <w:rsid w:val="00B05084"/>
    <w:rsid w:val="00B05E08"/>
    <w:rsid w:val="00B110EA"/>
    <w:rsid w:val="00B157F9"/>
    <w:rsid w:val="00B20256"/>
    <w:rsid w:val="00B207F4"/>
    <w:rsid w:val="00B20D09"/>
    <w:rsid w:val="00B21807"/>
    <w:rsid w:val="00B2763F"/>
    <w:rsid w:val="00B27AAC"/>
    <w:rsid w:val="00B30929"/>
    <w:rsid w:val="00B32E16"/>
    <w:rsid w:val="00B355E3"/>
    <w:rsid w:val="00B372AA"/>
    <w:rsid w:val="00B40445"/>
    <w:rsid w:val="00B409E0"/>
    <w:rsid w:val="00B41888"/>
    <w:rsid w:val="00B45A52"/>
    <w:rsid w:val="00B46175"/>
    <w:rsid w:val="00B548B7"/>
    <w:rsid w:val="00B5733A"/>
    <w:rsid w:val="00B57CAA"/>
    <w:rsid w:val="00B664C7"/>
    <w:rsid w:val="00B70B5D"/>
    <w:rsid w:val="00B739F6"/>
    <w:rsid w:val="00B81A6C"/>
    <w:rsid w:val="00B85DE5"/>
    <w:rsid w:val="00B86CCE"/>
    <w:rsid w:val="00B90F73"/>
    <w:rsid w:val="00B93B59"/>
    <w:rsid w:val="00B9406A"/>
    <w:rsid w:val="00BA2280"/>
    <w:rsid w:val="00BA2A08"/>
    <w:rsid w:val="00BA2ABE"/>
    <w:rsid w:val="00BA56D2"/>
    <w:rsid w:val="00BA76E0"/>
    <w:rsid w:val="00BB2A25"/>
    <w:rsid w:val="00BB51E9"/>
    <w:rsid w:val="00BC0FA9"/>
    <w:rsid w:val="00BC0FDC"/>
    <w:rsid w:val="00BC3053"/>
    <w:rsid w:val="00BC4D2E"/>
    <w:rsid w:val="00BC6905"/>
    <w:rsid w:val="00BD48AC"/>
    <w:rsid w:val="00BD5F1A"/>
    <w:rsid w:val="00BE1234"/>
    <w:rsid w:val="00BE2FA6"/>
    <w:rsid w:val="00BE333F"/>
    <w:rsid w:val="00BE7406"/>
    <w:rsid w:val="00BE7603"/>
    <w:rsid w:val="00BF3279"/>
    <w:rsid w:val="00BF427F"/>
    <w:rsid w:val="00BF74C7"/>
    <w:rsid w:val="00C015F1"/>
    <w:rsid w:val="00C01F33"/>
    <w:rsid w:val="00C02CC6"/>
    <w:rsid w:val="00C040F7"/>
    <w:rsid w:val="00C044AB"/>
    <w:rsid w:val="00C05706"/>
    <w:rsid w:val="00C07377"/>
    <w:rsid w:val="00C10478"/>
    <w:rsid w:val="00C12107"/>
    <w:rsid w:val="00C14D4B"/>
    <w:rsid w:val="00C154BB"/>
    <w:rsid w:val="00C2161D"/>
    <w:rsid w:val="00C24E9C"/>
    <w:rsid w:val="00C268AC"/>
    <w:rsid w:val="00C279B5"/>
    <w:rsid w:val="00C27C45"/>
    <w:rsid w:val="00C3719D"/>
    <w:rsid w:val="00C37CB2"/>
    <w:rsid w:val="00C40F8A"/>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4B52"/>
    <w:rsid w:val="00CC7B45"/>
    <w:rsid w:val="00CD1188"/>
    <w:rsid w:val="00CD2ED1"/>
    <w:rsid w:val="00CD337B"/>
    <w:rsid w:val="00CE0424"/>
    <w:rsid w:val="00CE7561"/>
    <w:rsid w:val="00CF1354"/>
    <w:rsid w:val="00CF3B1F"/>
    <w:rsid w:val="00CF3BF6"/>
    <w:rsid w:val="00CF49CD"/>
    <w:rsid w:val="00CF625B"/>
    <w:rsid w:val="00CF687E"/>
    <w:rsid w:val="00D02893"/>
    <w:rsid w:val="00D0349B"/>
    <w:rsid w:val="00D04BB0"/>
    <w:rsid w:val="00D10249"/>
    <w:rsid w:val="00D115C3"/>
    <w:rsid w:val="00D11897"/>
    <w:rsid w:val="00D13135"/>
    <w:rsid w:val="00D13E4E"/>
    <w:rsid w:val="00D21BE8"/>
    <w:rsid w:val="00D239A7"/>
    <w:rsid w:val="00D23F47"/>
    <w:rsid w:val="00D26A8A"/>
    <w:rsid w:val="00D341C4"/>
    <w:rsid w:val="00D36E71"/>
    <w:rsid w:val="00D37D87"/>
    <w:rsid w:val="00D40B33"/>
    <w:rsid w:val="00D4318F"/>
    <w:rsid w:val="00D438BF"/>
    <w:rsid w:val="00D440F8"/>
    <w:rsid w:val="00D546FF"/>
    <w:rsid w:val="00D55AD5"/>
    <w:rsid w:val="00D576CA"/>
    <w:rsid w:val="00D61AF5"/>
    <w:rsid w:val="00D6352E"/>
    <w:rsid w:val="00D64DD4"/>
    <w:rsid w:val="00D652B5"/>
    <w:rsid w:val="00D66155"/>
    <w:rsid w:val="00D708B0"/>
    <w:rsid w:val="00D77B1D"/>
    <w:rsid w:val="00D8021F"/>
    <w:rsid w:val="00D80383"/>
    <w:rsid w:val="00D823C6"/>
    <w:rsid w:val="00D8327F"/>
    <w:rsid w:val="00D86CA3"/>
    <w:rsid w:val="00D871CE"/>
    <w:rsid w:val="00D9196D"/>
    <w:rsid w:val="00D92982"/>
    <w:rsid w:val="00D975FE"/>
    <w:rsid w:val="00DA305E"/>
    <w:rsid w:val="00DA5417"/>
    <w:rsid w:val="00DA56E8"/>
    <w:rsid w:val="00DB0A9F"/>
    <w:rsid w:val="00DB377D"/>
    <w:rsid w:val="00DC1CB2"/>
    <w:rsid w:val="00DC2D36"/>
    <w:rsid w:val="00DC42C4"/>
    <w:rsid w:val="00DC53EF"/>
    <w:rsid w:val="00DE2462"/>
    <w:rsid w:val="00DE5608"/>
    <w:rsid w:val="00DE58D0"/>
    <w:rsid w:val="00DE654F"/>
    <w:rsid w:val="00DF0B6E"/>
    <w:rsid w:val="00DF15E0"/>
    <w:rsid w:val="00DF37A0"/>
    <w:rsid w:val="00E044DF"/>
    <w:rsid w:val="00E110E7"/>
    <w:rsid w:val="00E11B20"/>
    <w:rsid w:val="00E1727C"/>
    <w:rsid w:val="00E17FA2"/>
    <w:rsid w:val="00E22330"/>
    <w:rsid w:val="00E30B5A"/>
    <w:rsid w:val="00E3123D"/>
    <w:rsid w:val="00E31461"/>
    <w:rsid w:val="00E31D43"/>
    <w:rsid w:val="00E32608"/>
    <w:rsid w:val="00E34188"/>
    <w:rsid w:val="00E34B6E"/>
    <w:rsid w:val="00E35559"/>
    <w:rsid w:val="00E3723A"/>
    <w:rsid w:val="00E37860"/>
    <w:rsid w:val="00E403A2"/>
    <w:rsid w:val="00E446F1"/>
    <w:rsid w:val="00E46886"/>
    <w:rsid w:val="00E47AEF"/>
    <w:rsid w:val="00E53B75"/>
    <w:rsid w:val="00E54E3B"/>
    <w:rsid w:val="00E57565"/>
    <w:rsid w:val="00E609BE"/>
    <w:rsid w:val="00E63838"/>
    <w:rsid w:val="00E64434"/>
    <w:rsid w:val="00E67C51"/>
    <w:rsid w:val="00E72EFC"/>
    <w:rsid w:val="00E758EC"/>
    <w:rsid w:val="00E8234C"/>
    <w:rsid w:val="00E83AA9"/>
    <w:rsid w:val="00E85928"/>
    <w:rsid w:val="00E87822"/>
    <w:rsid w:val="00E87BA1"/>
    <w:rsid w:val="00E90395"/>
    <w:rsid w:val="00E90E49"/>
    <w:rsid w:val="00E917F9"/>
    <w:rsid w:val="00E92617"/>
    <w:rsid w:val="00E9291C"/>
    <w:rsid w:val="00E93FFE"/>
    <w:rsid w:val="00E94F8A"/>
    <w:rsid w:val="00EA18F9"/>
    <w:rsid w:val="00EA7A41"/>
    <w:rsid w:val="00EB077B"/>
    <w:rsid w:val="00EB4EA2"/>
    <w:rsid w:val="00EC24D5"/>
    <w:rsid w:val="00EC27C6"/>
    <w:rsid w:val="00EC4207"/>
    <w:rsid w:val="00EC5653"/>
    <w:rsid w:val="00EC71CE"/>
    <w:rsid w:val="00ED1006"/>
    <w:rsid w:val="00EF18FE"/>
    <w:rsid w:val="00EF5787"/>
    <w:rsid w:val="00EF60D0"/>
    <w:rsid w:val="00F00E48"/>
    <w:rsid w:val="00F0528D"/>
    <w:rsid w:val="00F06C67"/>
    <w:rsid w:val="00F06DFD"/>
    <w:rsid w:val="00F071D1"/>
    <w:rsid w:val="00F07533"/>
    <w:rsid w:val="00F10629"/>
    <w:rsid w:val="00F15FA5"/>
    <w:rsid w:val="00F16367"/>
    <w:rsid w:val="00F209B7"/>
    <w:rsid w:val="00F2376F"/>
    <w:rsid w:val="00F243D8"/>
    <w:rsid w:val="00F30828"/>
    <w:rsid w:val="00F313D6"/>
    <w:rsid w:val="00F34100"/>
    <w:rsid w:val="00F40F0C"/>
    <w:rsid w:val="00F4766C"/>
    <w:rsid w:val="00F5060E"/>
    <w:rsid w:val="00F507D1"/>
    <w:rsid w:val="00F519CE"/>
    <w:rsid w:val="00F51ADA"/>
    <w:rsid w:val="00F60203"/>
    <w:rsid w:val="00F607C5"/>
    <w:rsid w:val="00F60DEA"/>
    <w:rsid w:val="00F61525"/>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E6C"/>
    <w:rsid w:val="00FC7429"/>
    <w:rsid w:val="00FD07F6"/>
    <w:rsid w:val="00FD1B9D"/>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uiPriority w:val="99"/>
    <w:qFormat/>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basedOn w:val="Normal"/>
    <w:link w:val="BodyTextChar"/>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uiPriority w:val="99"/>
    <w:qFormat/>
    <w:rsid w:val="00810196"/>
    <w:rPr>
      <w:rFonts w:ascii="Times New Roman" w:hAnsi="Times New Roman"/>
    </w:rPr>
  </w:style>
  <w:style w:type="paragraph" w:customStyle="1" w:styleId="B3">
    <w:name w:val="B3"/>
    <w:basedOn w:val="List3"/>
    <w:link w:val="B3Char2"/>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uiPriority w:val="99"/>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uiPriority w:val="39"/>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eastAsiaTheme="minorEastAsia" w:hAnsi="Calibri" w:cs="Calibri"/>
      <w:sz w:val="22"/>
      <w:szCs w:val="22"/>
      <w:lang w:val="sv-SE" w:eastAsia="zh-CN"/>
    </w:rPr>
  </w:style>
  <w:style w:type="character" w:styleId="PlaceholderText">
    <w:name w:val="Placeholder Text"/>
    <w:basedOn w:val="DefaultParagraphFont"/>
    <w:uiPriority w:val="99"/>
    <w:semiHidden/>
    <w:rsid w:val="002D638E"/>
    <w:rPr>
      <w:color w:val="808080"/>
    </w:rPr>
  </w:style>
  <w:style w:type="character" w:customStyle="1" w:styleId="B10">
    <w:name w:val="B1 (文字)"/>
    <w:uiPriority w:val="99"/>
    <w:qFormat/>
    <w:locked/>
    <w:rsid w:val="0082149F"/>
    <w:rPr>
      <w:lang w:val="en-GB"/>
    </w:rPr>
  </w:style>
  <w:style w:type="paragraph" w:customStyle="1" w:styleId="RAN1bullet3">
    <w:name w:val="RAN1 bullet3"/>
    <w:basedOn w:val="Normal"/>
    <w:qFormat/>
    <w:rsid w:val="0082149F"/>
    <w:pPr>
      <w:numPr>
        <w:ilvl w:val="2"/>
        <w:numId w:val="26"/>
      </w:numPr>
      <w:tabs>
        <w:tab w:val="left" w:pos="1440"/>
      </w:tabs>
      <w:overflowPunct/>
      <w:autoSpaceDE/>
      <w:autoSpaceDN/>
      <w:adjustRightInd/>
      <w:spacing w:after="0"/>
      <w:textAlignment w:val="auto"/>
    </w:pPr>
    <w:rPr>
      <w:rFonts w:ascii="Times" w:eastAsia="Batang" w:hAnsi="Times"/>
      <w:lang w:val="en-US" w:eastAsia="en-US"/>
    </w:rPr>
  </w:style>
  <w:style w:type="paragraph" w:customStyle="1" w:styleId="a">
    <w:name w:val="佐藤２"/>
    <w:basedOn w:val="Normal"/>
    <w:rsid w:val="0082149F"/>
    <w:pPr>
      <w:numPr>
        <w:numId w:val="27"/>
      </w:numPr>
      <w:overflowPunct/>
      <w:autoSpaceDE/>
      <w:autoSpaceDN/>
      <w:adjustRightInd/>
      <w:textAlignment w:val="auto"/>
    </w:pPr>
    <w:rPr>
      <w:rFonts w:eastAsia="MS Gothic"/>
      <w:sz w:val="24"/>
    </w:rPr>
  </w:style>
  <w:style w:type="character" w:customStyle="1" w:styleId="Style1Char">
    <w:name w:val="Style1 Char"/>
    <w:basedOn w:val="DefaultParagraphFont"/>
    <w:link w:val="Style1"/>
    <w:locked/>
    <w:rsid w:val="00BF427F"/>
    <w:rPr>
      <w:rFonts w:ascii="Malgun Gothic" w:eastAsia="Malgun Gothic" w:hAnsi="Malgun Gothic"/>
    </w:rPr>
  </w:style>
  <w:style w:type="paragraph" w:customStyle="1" w:styleId="Style1">
    <w:name w:val="Style1"/>
    <w:basedOn w:val="Normal"/>
    <w:link w:val="Style1Char"/>
    <w:rsid w:val="00BF427F"/>
    <w:pPr>
      <w:overflowPunct/>
      <w:autoSpaceDE/>
      <w:autoSpaceDN/>
      <w:adjustRightInd/>
      <w:spacing w:line="288" w:lineRule="auto"/>
      <w:ind w:firstLine="360"/>
      <w:jc w:val="both"/>
      <w:textAlignment w:val="auto"/>
    </w:pPr>
    <w:rPr>
      <w:rFonts w:ascii="Malgun Gothic" w:eastAsia="Malgun Gothic" w:hAnsi="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033788">
      <w:bodyDiv w:val="1"/>
      <w:marLeft w:val="0"/>
      <w:marRight w:val="0"/>
      <w:marTop w:val="0"/>
      <w:marBottom w:val="0"/>
      <w:divBdr>
        <w:top w:val="none" w:sz="0" w:space="0" w:color="auto"/>
        <w:left w:val="none" w:sz="0" w:space="0" w:color="auto"/>
        <w:bottom w:val="none" w:sz="0" w:space="0" w:color="auto"/>
        <w:right w:val="none" w:sz="0" w:space="0" w:color="auto"/>
      </w:divBdr>
    </w:div>
    <w:div w:id="357120292">
      <w:bodyDiv w:val="1"/>
      <w:marLeft w:val="0"/>
      <w:marRight w:val="0"/>
      <w:marTop w:val="0"/>
      <w:marBottom w:val="0"/>
      <w:divBdr>
        <w:top w:val="none" w:sz="0" w:space="0" w:color="auto"/>
        <w:left w:val="none" w:sz="0" w:space="0" w:color="auto"/>
        <w:bottom w:val="none" w:sz="0" w:space="0" w:color="auto"/>
        <w:right w:val="none" w:sz="0" w:space="0" w:color="auto"/>
      </w:divBdr>
    </w:div>
    <w:div w:id="521866946">
      <w:bodyDiv w:val="1"/>
      <w:marLeft w:val="0"/>
      <w:marRight w:val="0"/>
      <w:marTop w:val="0"/>
      <w:marBottom w:val="0"/>
      <w:divBdr>
        <w:top w:val="none" w:sz="0" w:space="0" w:color="auto"/>
        <w:left w:val="none" w:sz="0" w:space="0" w:color="auto"/>
        <w:bottom w:val="none" w:sz="0" w:space="0" w:color="auto"/>
        <w:right w:val="none" w:sz="0" w:space="0" w:color="auto"/>
      </w:divBdr>
    </w:div>
    <w:div w:id="1210067604">
      <w:bodyDiv w:val="1"/>
      <w:marLeft w:val="0"/>
      <w:marRight w:val="0"/>
      <w:marTop w:val="0"/>
      <w:marBottom w:val="0"/>
      <w:divBdr>
        <w:top w:val="none" w:sz="0" w:space="0" w:color="auto"/>
        <w:left w:val="none" w:sz="0" w:space="0" w:color="auto"/>
        <w:bottom w:val="none" w:sz="0" w:space="0" w:color="auto"/>
        <w:right w:val="none" w:sz="0" w:space="0" w:color="auto"/>
      </w:divBdr>
    </w:div>
    <w:div w:id="1284071566">
      <w:bodyDiv w:val="1"/>
      <w:marLeft w:val="0"/>
      <w:marRight w:val="0"/>
      <w:marTop w:val="0"/>
      <w:marBottom w:val="0"/>
      <w:divBdr>
        <w:top w:val="none" w:sz="0" w:space="0" w:color="auto"/>
        <w:left w:val="none" w:sz="0" w:space="0" w:color="auto"/>
        <w:bottom w:val="none" w:sz="0" w:space="0" w:color="auto"/>
        <w:right w:val="none" w:sz="0" w:space="0" w:color="auto"/>
      </w:divBdr>
    </w:div>
    <w:div w:id="1601253006">
      <w:bodyDiv w:val="1"/>
      <w:marLeft w:val="0"/>
      <w:marRight w:val="0"/>
      <w:marTop w:val="0"/>
      <w:marBottom w:val="0"/>
      <w:divBdr>
        <w:top w:val="none" w:sz="0" w:space="0" w:color="auto"/>
        <w:left w:val="none" w:sz="0" w:space="0" w:color="auto"/>
        <w:bottom w:val="none" w:sz="0" w:space="0" w:color="auto"/>
        <w:right w:val="none" w:sz="0" w:space="0" w:color="auto"/>
      </w:divBdr>
    </w:div>
    <w:div w:id="1681589232">
      <w:bodyDiv w:val="1"/>
      <w:marLeft w:val="0"/>
      <w:marRight w:val="0"/>
      <w:marTop w:val="0"/>
      <w:marBottom w:val="0"/>
      <w:divBdr>
        <w:top w:val="none" w:sz="0" w:space="0" w:color="auto"/>
        <w:left w:val="none" w:sz="0" w:space="0" w:color="auto"/>
        <w:bottom w:val="none" w:sz="0" w:space="0" w:color="auto"/>
        <w:right w:val="none" w:sz="0" w:space="0" w:color="auto"/>
      </w:divBdr>
    </w:div>
    <w:div w:id="1901986201">
      <w:bodyDiv w:val="1"/>
      <w:marLeft w:val="0"/>
      <w:marRight w:val="0"/>
      <w:marTop w:val="0"/>
      <w:marBottom w:val="0"/>
      <w:divBdr>
        <w:top w:val="none" w:sz="0" w:space="0" w:color="auto"/>
        <w:left w:val="none" w:sz="0" w:space="0" w:color="auto"/>
        <w:bottom w:val="none" w:sz="0" w:space="0" w:color="auto"/>
        <w:right w:val="none" w:sz="0" w:space="0" w:color="auto"/>
      </w:divBdr>
    </w:div>
    <w:div w:id="2010332687">
      <w:bodyDiv w:val="1"/>
      <w:marLeft w:val="0"/>
      <w:marRight w:val="0"/>
      <w:marTop w:val="0"/>
      <w:marBottom w:val="0"/>
      <w:divBdr>
        <w:top w:val="none" w:sz="0" w:space="0" w:color="auto"/>
        <w:left w:val="none" w:sz="0" w:space="0" w:color="auto"/>
        <w:bottom w:val="none" w:sz="0" w:space="0" w:color="auto"/>
        <w:right w:val="none" w:sz="0" w:space="0" w:color="auto"/>
      </w:divBdr>
    </w:div>
    <w:div w:id="213347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purl.org/dc/dcmitype/"/>
    <ds:schemaRef ds:uri="http://schemas.microsoft.com/office/2006/documentManagement/types"/>
    <ds:schemaRef ds:uri="http://purl.org/dc/terms/"/>
    <ds:schemaRef ds:uri="db33437f-65a5-48c5-b537-19efd290f967"/>
    <ds:schemaRef ds:uri="http://purl.org/dc/elements/1.1/"/>
    <ds:schemaRef ds:uri="6f846979-0e6f-42ff-8b87-e1893efeda99"/>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2DAACED2-F146-4092-9A05-EAA98B0F1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BDF6F8-6B57-4437-AEDE-C93AC58B7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Template>
  <TotalTime>0</TotalTime>
  <Pages>4</Pages>
  <Words>1369</Words>
  <Characters>7809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9160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Siva Muruganathan</dc:creator>
  <cp:keywords>3GPP; Ericsson; TDoc</cp:keywords>
  <dc:description/>
  <cp:lastModifiedBy>Mattias Frenne</cp:lastModifiedBy>
  <cp:revision>2</cp:revision>
  <cp:lastPrinted>2008-01-31T07:09:00Z</cp:lastPrinted>
  <dcterms:created xsi:type="dcterms:W3CDTF">2020-04-10T11:02:00Z</dcterms:created>
  <dcterms:modified xsi:type="dcterms:W3CDTF">2020-04-10T11:02:00Z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